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color w:val="auto"/>
          <w:sz w:val="52"/>
          <w:szCs w:val="52"/>
          <w:highlight w:val="none"/>
        </w:rPr>
      </w:pPr>
    </w:p>
    <w:p>
      <w:pPr>
        <w:snapToGrid w:val="0"/>
        <w:spacing w:beforeLines="50"/>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公开招标文件</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17"/>
        <w:spacing w:line="360" w:lineRule="auto"/>
        <w:jc w:val="left"/>
        <w:rPr>
          <w:rFonts w:ascii="宋体" w:hAnsi="宋体" w:cs="宋体"/>
          <w:b/>
          <w:color w:val="auto"/>
          <w:sz w:val="32"/>
          <w:highlight w:val="none"/>
        </w:rPr>
      </w:pPr>
    </w:p>
    <w:p>
      <w:pPr>
        <w:pStyle w:val="17"/>
        <w:spacing w:line="360" w:lineRule="auto"/>
        <w:jc w:val="left"/>
        <w:rPr>
          <w:rFonts w:ascii="黑体" w:hAnsi="黑体" w:eastAsia="黑体" w:cs="黑体"/>
          <w:b/>
          <w:color w:val="auto"/>
          <w:sz w:val="32"/>
          <w:highlight w:val="none"/>
        </w:rPr>
      </w:pPr>
    </w:p>
    <w:p>
      <w:pPr>
        <w:pStyle w:val="17"/>
        <w:spacing w:line="360" w:lineRule="auto"/>
        <w:ind w:firstLine="640" w:firstLineChars="200"/>
        <w:jc w:val="center"/>
        <w:rPr>
          <w:rFonts w:hint="eastAsia" w:ascii="黑体" w:hAnsi="黑体" w:eastAsia="黑体" w:cs="黑体"/>
          <w:b/>
          <w:color w:val="auto"/>
          <w:sz w:val="32"/>
          <w:szCs w:val="32"/>
          <w:highlight w:val="none"/>
          <w:lang w:eastAsia="zh-CN"/>
        </w:rPr>
      </w:pPr>
      <w:r>
        <w:rPr>
          <w:rFonts w:hint="eastAsia" w:ascii="黑体" w:hAnsi="黑体" w:eastAsia="黑体" w:cs="黑体"/>
          <w:b/>
          <w:color w:val="auto"/>
          <w:sz w:val="32"/>
          <w:szCs w:val="32"/>
          <w:highlight w:val="none"/>
        </w:rPr>
        <w:t>项目编号：</w:t>
      </w:r>
      <w:r>
        <w:rPr>
          <w:rFonts w:hint="eastAsia" w:ascii="黑体" w:hAnsi="黑体" w:eastAsia="黑体" w:cs="黑体"/>
          <w:b/>
          <w:color w:val="auto"/>
          <w:sz w:val="32"/>
          <w:szCs w:val="32"/>
          <w:highlight w:val="none"/>
          <w:lang w:eastAsia="zh-CN"/>
        </w:rPr>
        <w:t>ZDAZB-FS-2021020</w:t>
      </w:r>
    </w:p>
    <w:p>
      <w:pPr>
        <w:snapToGrid w:val="0"/>
        <w:spacing w:beforeLines="50"/>
        <w:ind w:firstLine="640" w:firstLineChars="200"/>
        <w:jc w:val="center"/>
        <w:rPr>
          <w:rFonts w:hint="eastAsia" w:ascii="黑体" w:hAnsi="黑体" w:eastAsia="黑体" w:cs="黑体"/>
          <w:b/>
          <w:color w:val="auto"/>
          <w:sz w:val="32"/>
          <w:szCs w:val="32"/>
          <w:highlight w:val="none"/>
          <w:lang w:eastAsia="zh-CN"/>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lang w:eastAsia="zh-CN"/>
        </w:rPr>
        <w:t>南海出入境边防检查站物业管理服务项目</w:t>
      </w:r>
    </w:p>
    <w:p>
      <w:pPr>
        <w:pStyle w:val="17"/>
        <w:spacing w:line="360" w:lineRule="auto"/>
        <w:rPr>
          <w:rFonts w:ascii="黑体" w:hAnsi="黑体" w:eastAsia="黑体" w:cs="黑体"/>
          <w:b/>
          <w:color w:val="auto"/>
          <w:sz w:val="32"/>
          <w:szCs w:val="32"/>
          <w:highlight w:val="none"/>
        </w:rPr>
      </w:pPr>
    </w:p>
    <w:p>
      <w:pPr>
        <w:snapToGrid w:val="0"/>
        <w:spacing w:line="360" w:lineRule="auto"/>
        <w:rPr>
          <w:rFonts w:ascii="黑体" w:hAnsi="黑体" w:eastAsia="黑体" w:cs="黑体"/>
          <w:color w:val="auto"/>
          <w:sz w:val="32"/>
          <w:szCs w:val="32"/>
          <w:highlight w:val="none"/>
        </w:rPr>
      </w:pPr>
    </w:p>
    <w:p>
      <w:pPr>
        <w:pStyle w:val="2"/>
        <w:rPr>
          <w:rFonts w:ascii="黑体" w:hAnsi="黑体" w:eastAsia="黑体" w:cs="黑体"/>
          <w:color w:val="auto"/>
          <w:sz w:val="32"/>
          <w:szCs w:val="32"/>
          <w:highlight w:val="none"/>
        </w:rPr>
      </w:pPr>
    </w:p>
    <w:p>
      <w:pPr>
        <w:pStyle w:val="2"/>
        <w:rPr>
          <w:rFonts w:ascii="黑体" w:hAnsi="黑体" w:eastAsia="黑体" w:cs="黑体"/>
          <w:color w:val="auto"/>
          <w:sz w:val="32"/>
          <w:szCs w:val="32"/>
          <w:highlight w:val="none"/>
        </w:rPr>
      </w:pPr>
    </w:p>
    <w:p>
      <w:pPr>
        <w:pStyle w:val="2"/>
        <w:rPr>
          <w:rFonts w:ascii="黑体" w:hAnsi="黑体" w:eastAsia="黑体" w:cs="黑体"/>
          <w:color w:val="auto"/>
          <w:sz w:val="32"/>
          <w:szCs w:val="32"/>
          <w:highlight w:val="none"/>
        </w:rPr>
      </w:pPr>
    </w:p>
    <w:p>
      <w:pPr>
        <w:pStyle w:val="2"/>
        <w:rPr>
          <w:rFonts w:ascii="黑体" w:hAnsi="黑体" w:eastAsia="黑体" w:cs="黑体"/>
          <w:color w:val="auto"/>
          <w:sz w:val="32"/>
          <w:szCs w:val="32"/>
          <w:highlight w:val="none"/>
        </w:rPr>
      </w:pPr>
    </w:p>
    <w:p>
      <w:pPr>
        <w:pStyle w:val="2"/>
        <w:rPr>
          <w:rFonts w:ascii="黑体" w:hAnsi="黑体" w:eastAsia="黑体" w:cs="黑体"/>
          <w:color w:val="auto"/>
          <w:sz w:val="32"/>
          <w:szCs w:val="32"/>
          <w:highlight w:val="none"/>
        </w:rPr>
      </w:pPr>
    </w:p>
    <w:p>
      <w:pPr>
        <w:pStyle w:val="2"/>
        <w:rPr>
          <w:rFonts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采购人：中华人民共和国南海出入境边防检查站</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采购代理机构：中达安股份有限公司</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jc w:val="center"/>
        <w:textAlignment w:val="auto"/>
        <w:rPr>
          <w:rFonts w:ascii="黑体" w:hAnsi="黑体" w:eastAsia="黑体" w:cs="黑体"/>
          <w:b/>
          <w:bCs/>
          <w:color w:val="auto"/>
          <w:sz w:val="30"/>
          <w:szCs w:val="30"/>
          <w:highlight w:val="none"/>
        </w:rPr>
        <w:sectPr>
          <w:footerReference r:id="rId7" w:type="first"/>
          <w:headerReference r:id="rId3" w:type="default"/>
          <w:footerReference r:id="rId5" w:type="default"/>
          <w:headerReference r:id="rId4" w:type="even"/>
          <w:footerReference r:id="rId6" w:type="even"/>
          <w:pgSz w:w="11906" w:h="16838"/>
          <w:pgMar w:top="1440" w:right="1440" w:bottom="1440" w:left="1440" w:header="567" w:footer="992" w:gutter="0"/>
          <w:pgNumType w:fmt="decimal" w:start="1"/>
          <w:cols w:space="720" w:num="1"/>
          <w:titlePg/>
          <w:docGrid w:type="linesAndChars" w:linePitch="312" w:charSpace="0"/>
        </w:sectPr>
      </w:pPr>
      <w:r>
        <w:rPr>
          <w:rFonts w:hint="eastAsia" w:ascii="黑体" w:hAnsi="黑体" w:eastAsia="黑体" w:cs="黑体"/>
          <w:b/>
          <w:bCs/>
          <w:color w:val="auto"/>
          <w:sz w:val="32"/>
          <w:szCs w:val="32"/>
          <w:highlight w:val="none"/>
        </w:rPr>
        <w:t>2021年</w:t>
      </w:r>
      <w:r>
        <w:rPr>
          <w:rFonts w:hint="eastAsia" w:ascii="黑体" w:hAnsi="黑体" w:eastAsia="黑体" w:cs="黑体"/>
          <w:b/>
          <w:bCs/>
          <w:color w:val="auto"/>
          <w:sz w:val="32"/>
          <w:szCs w:val="32"/>
          <w:highlight w:val="none"/>
          <w:lang w:val="en-US" w:eastAsia="zh-CN"/>
        </w:rPr>
        <w:t>7</w:t>
      </w:r>
      <w:r>
        <w:rPr>
          <w:rFonts w:hint="eastAsia" w:ascii="黑体" w:hAnsi="黑体" w:eastAsia="黑体" w:cs="黑体"/>
          <w:b/>
          <w:bCs/>
          <w:color w:val="auto"/>
          <w:sz w:val="32"/>
          <w:szCs w:val="32"/>
          <w:highlight w:val="none"/>
        </w:rPr>
        <w:t>月</w:t>
      </w:r>
    </w:p>
    <w:p>
      <w:pPr>
        <w:autoSpaceDE w:val="0"/>
        <w:autoSpaceDN w:val="0"/>
        <w:adjustRightInd w:val="0"/>
        <w:snapToGrid w:val="0"/>
        <w:spacing w:beforeLines="50" w:afterLines="50"/>
        <w:jc w:val="center"/>
        <w:rPr>
          <w:rFonts w:ascii="宋体" w:hAnsi="宋体" w:cs="宋体"/>
          <w:b/>
          <w:color w:val="auto"/>
          <w:sz w:val="44"/>
          <w:szCs w:val="44"/>
          <w:highlight w:val="none"/>
        </w:rPr>
      </w:pPr>
      <w:r>
        <w:rPr>
          <w:rFonts w:hint="eastAsia" w:ascii="宋体" w:hAnsi="宋体" w:cs="宋体"/>
          <w:b/>
          <w:color w:val="auto"/>
          <w:sz w:val="44"/>
          <w:szCs w:val="44"/>
          <w:highlight w:val="none"/>
        </w:rPr>
        <w:t>温馨提示！！！</w:t>
      </w:r>
    </w:p>
    <w:p>
      <w:pPr>
        <w:tabs>
          <w:tab w:val="left" w:pos="0"/>
        </w:tabs>
        <w:spacing w:beforeLines="50" w:afterLines="50"/>
        <w:jc w:val="center"/>
        <w:rPr>
          <w:rFonts w:ascii="宋体" w:hAnsi="宋体" w:cs="宋体"/>
          <w:b/>
          <w:color w:val="auto"/>
          <w:szCs w:val="21"/>
          <w:highlight w:val="none"/>
        </w:rPr>
      </w:pPr>
      <w:r>
        <w:rPr>
          <w:rFonts w:hint="eastAsia" w:ascii="宋体" w:hAnsi="宋体" w:cs="宋体"/>
          <w:b/>
          <w:color w:val="auto"/>
          <w:szCs w:val="21"/>
          <w:highlight w:val="none"/>
        </w:rPr>
        <w:t>（本提示内容非招标文件的组成部分，仅为善意提醒。如有不一致的地方，以招标文件为准）</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如无另行说明，投标文件递交时间为投标截止时间</w:t>
      </w:r>
      <w:r>
        <w:rPr>
          <w:rFonts w:hint="eastAsia" w:ascii="宋体" w:hAnsi="宋体" w:cs="宋体"/>
          <w:b/>
          <w:color w:val="auto"/>
          <w:szCs w:val="21"/>
          <w:highlight w:val="none"/>
          <w:u w:val="single"/>
        </w:rPr>
        <w:t>前30分钟</w:t>
      </w:r>
      <w:r>
        <w:rPr>
          <w:rFonts w:hint="eastAsia" w:ascii="宋体" w:hAnsi="宋体" w:cs="宋体"/>
          <w:color w:val="auto"/>
          <w:szCs w:val="21"/>
          <w:highlight w:val="none"/>
        </w:rPr>
        <w:t>内。</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本项目邀请投标人参加开标会议，请</w:t>
      </w:r>
      <w:r>
        <w:rPr>
          <w:rFonts w:hint="eastAsia" w:ascii="宋体" w:hAnsi="宋体" w:cs="宋体"/>
          <w:b/>
          <w:color w:val="auto"/>
          <w:szCs w:val="21"/>
          <w:highlight w:val="none"/>
          <w:u w:val="single"/>
        </w:rPr>
        <w:t>适当提前到达</w:t>
      </w:r>
      <w:r>
        <w:rPr>
          <w:rFonts w:hint="eastAsia" w:ascii="宋体" w:hAnsi="宋体" w:cs="宋体"/>
          <w:color w:val="auto"/>
          <w:szCs w:val="21"/>
          <w:highlight w:val="none"/>
        </w:rPr>
        <w:t>。</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各投标人请</w:t>
      </w:r>
      <w:r>
        <w:rPr>
          <w:rFonts w:hint="eastAsia" w:ascii="宋体" w:hAnsi="宋体" w:cs="宋体"/>
          <w:b/>
          <w:color w:val="auto"/>
          <w:szCs w:val="21"/>
          <w:highlight w:val="none"/>
          <w:u w:val="single"/>
        </w:rPr>
        <w:t>注意区分</w:t>
      </w:r>
      <w:r>
        <w:rPr>
          <w:rFonts w:hint="eastAsia" w:ascii="宋体" w:hAnsi="宋体" w:cs="宋体"/>
          <w:color w:val="auto"/>
          <w:szCs w:val="21"/>
          <w:highlight w:val="none"/>
        </w:rPr>
        <w:t>投标保证金、购买招标文件以及采购代理服务费收款账号的区别：采用汇入方式缴纳投标保证金的，务必将投标保证金按招标文件的要求存入指定的投标保证金账号；采购代理服务费存入采购代理服务费账号。切勿将款项转错账户，以免影响投标的资格及保证金退还的速度。</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投标保证金必须于第二章《投标资料表》中</w:t>
      </w:r>
      <w:r>
        <w:rPr>
          <w:rFonts w:hint="eastAsia" w:ascii="宋体" w:hAnsi="宋体" w:cs="宋体"/>
          <w:b/>
          <w:color w:val="auto"/>
          <w:szCs w:val="21"/>
          <w:highlight w:val="none"/>
          <w:u w:val="single"/>
        </w:rPr>
        <w:t>规定的时间内到达指定账号</w:t>
      </w:r>
      <w:r>
        <w:rPr>
          <w:rFonts w:hint="eastAsia" w:ascii="宋体" w:hAnsi="宋体" w:cs="宋体"/>
          <w:color w:val="auto"/>
          <w:szCs w:val="21"/>
          <w:highlight w:val="none"/>
        </w:rPr>
        <w:t>（账号信息详见第二章《投标资料表》）。</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投标文件应按顺序</w:t>
      </w:r>
      <w:r>
        <w:rPr>
          <w:rFonts w:hint="eastAsia" w:ascii="宋体" w:hAnsi="宋体" w:cs="宋体"/>
          <w:b/>
          <w:color w:val="auto"/>
          <w:szCs w:val="21"/>
          <w:highlight w:val="none"/>
          <w:u w:val="single"/>
        </w:rPr>
        <w:t>编制页码</w:t>
      </w:r>
      <w:r>
        <w:rPr>
          <w:rFonts w:hint="eastAsia" w:ascii="宋体" w:hAnsi="宋体" w:cs="宋体"/>
          <w:color w:val="auto"/>
          <w:szCs w:val="21"/>
          <w:highlight w:val="none"/>
        </w:rPr>
        <w:t>。</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请仔细检查投标文件是否已按招标文件要求</w:t>
      </w:r>
      <w:r>
        <w:rPr>
          <w:rFonts w:hint="eastAsia" w:ascii="宋体" w:hAnsi="宋体" w:cs="宋体"/>
          <w:b/>
          <w:color w:val="auto"/>
          <w:szCs w:val="21"/>
          <w:highlight w:val="none"/>
          <w:u w:val="single"/>
        </w:rPr>
        <w:t>盖章、签名、签署日期</w:t>
      </w:r>
      <w:r>
        <w:rPr>
          <w:rFonts w:hint="eastAsia" w:ascii="宋体" w:hAnsi="宋体" w:cs="宋体"/>
          <w:color w:val="auto"/>
          <w:szCs w:val="21"/>
          <w:highlight w:val="none"/>
        </w:rPr>
        <w:t>。</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请正确填写《开标一览表（报价表）》、《投标分项报价表》。</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投标人如需对项目提出询问或质疑，应按招标文件附件中的询问函和质疑函的格式提交。</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投标文件建议采用A4纸、双面打印、胶装。</w:t>
      </w:r>
    </w:p>
    <w:p>
      <w:pPr>
        <w:numPr>
          <w:ilvl w:val="0"/>
          <w:numId w:val="2"/>
        </w:numPr>
        <w:tabs>
          <w:tab w:val="left" w:pos="709"/>
        </w:tabs>
        <w:spacing w:line="360" w:lineRule="auto"/>
        <w:ind w:left="700" w:hanging="700"/>
        <w:rPr>
          <w:rFonts w:ascii="宋体" w:hAnsi="宋体" w:cs="宋体"/>
          <w:color w:val="auto"/>
          <w:szCs w:val="21"/>
          <w:highlight w:val="none"/>
        </w:rPr>
      </w:pPr>
      <w:r>
        <w:rPr>
          <w:rFonts w:hint="eastAsia" w:ascii="宋体" w:hAnsi="宋体" w:cs="宋体"/>
          <w:color w:val="auto"/>
          <w:szCs w:val="21"/>
          <w:highlight w:val="none"/>
        </w:rPr>
        <w:t>上述提示内容非招标文件的组成部分，仅为善意提醒。如有不一致的地方，以招标文件为准。</w:t>
      </w:r>
    </w:p>
    <w:p>
      <w:pPr>
        <w:spacing w:beforeLines="50" w:afterLines="100" w:line="360" w:lineRule="auto"/>
        <w:jc w:val="center"/>
        <w:rPr>
          <w:rFonts w:ascii="黑体" w:hAnsi="黑体" w:eastAsia="黑体" w:cs="黑体"/>
          <w:b/>
          <w:color w:val="auto"/>
          <w:sz w:val="44"/>
          <w:szCs w:val="44"/>
          <w:highlight w:val="none"/>
        </w:rPr>
        <w:sectPr>
          <w:headerReference r:id="rId8" w:type="default"/>
          <w:footerReference r:id="rId9" w:type="default"/>
          <w:footerReference r:id="rId10" w:type="even"/>
          <w:pgSz w:w="11906" w:h="16838"/>
          <w:pgMar w:top="1440" w:right="1440" w:bottom="1440" w:left="1440" w:header="794" w:footer="992" w:gutter="0"/>
          <w:pgNumType w:fmt="decimal"/>
          <w:cols w:space="720" w:num="1"/>
          <w:docGrid w:type="lines" w:linePitch="312" w:charSpace="0"/>
        </w:sectPr>
      </w:pPr>
      <w:bookmarkStart w:id="0" w:name="_Toc435514842"/>
      <w:bookmarkStart w:id="1" w:name="_Toc435115051"/>
    </w:p>
    <w:p>
      <w:pPr>
        <w:spacing w:beforeLines="50" w:afterLines="100" w:line="360" w:lineRule="auto"/>
        <w:jc w:val="center"/>
        <w:rPr>
          <w:rFonts w:ascii="黑体" w:hAnsi="黑体" w:eastAsia="黑体" w:cs="黑体"/>
          <w:color w:val="auto"/>
          <w:sz w:val="44"/>
          <w:szCs w:val="44"/>
          <w:highlight w:val="none"/>
        </w:rPr>
      </w:pPr>
      <w:r>
        <w:rPr>
          <w:rFonts w:hint="eastAsia" w:ascii="黑体" w:hAnsi="黑体" w:eastAsia="黑体" w:cs="黑体"/>
          <w:b/>
          <w:color w:val="auto"/>
          <w:sz w:val="44"/>
          <w:szCs w:val="44"/>
          <w:highlight w:val="none"/>
        </w:rPr>
        <w:t>目   录</w:t>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b w:val="0"/>
          <w:color w:val="auto"/>
          <w:szCs w:val="21"/>
          <w:highlight w:val="none"/>
        </w:rPr>
        <w:fldChar w:fldCharType="begin"/>
      </w:r>
      <w:r>
        <w:rPr>
          <w:rFonts w:hint="eastAsia" w:ascii="黑体" w:hAnsi="黑体" w:eastAsia="黑体" w:cs="黑体"/>
          <w:b w:val="0"/>
          <w:color w:val="auto"/>
          <w:szCs w:val="21"/>
          <w:highlight w:val="none"/>
        </w:rPr>
        <w:instrText xml:space="preserve"> TOC \o "1-3" \h \z \u </w:instrText>
      </w:r>
      <w:r>
        <w:rPr>
          <w:rFonts w:hint="eastAsia" w:ascii="黑体" w:hAnsi="黑体" w:eastAsia="黑体" w:cs="黑体"/>
          <w:b w:val="0"/>
          <w:color w:val="auto"/>
          <w:szCs w:val="21"/>
          <w:highlight w:val="none"/>
        </w:rPr>
        <w:fldChar w:fldCharType="separate"/>
      </w: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_Toc11719 </w:instrText>
      </w:r>
      <w:r>
        <w:rPr>
          <w:rFonts w:hint="eastAsia" w:ascii="黑体" w:hAnsi="黑体" w:eastAsia="黑体" w:cs="黑体"/>
          <w:color w:val="auto"/>
          <w:szCs w:val="21"/>
          <w:highlight w:val="none"/>
        </w:rPr>
        <w:fldChar w:fldCharType="separate"/>
      </w:r>
      <w:r>
        <w:rPr>
          <w:rFonts w:hint="eastAsia" w:ascii="黑体" w:hAnsi="黑体" w:eastAsia="黑体" w:cs="黑体"/>
          <w:bCs/>
          <w:color w:val="auto"/>
          <w:szCs w:val="32"/>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_Toc11719 \h </w:instrText>
      </w:r>
      <w:r>
        <w:rPr>
          <w:color w:val="auto"/>
          <w:highlight w:val="none"/>
        </w:rPr>
        <w:fldChar w:fldCharType="separate"/>
      </w:r>
      <w:r>
        <w:rPr>
          <w:color w:val="auto"/>
          <w:highlight w:val="none"/>
        </w:rPr>
        <w:t>4</w:t>
      </w:r>
      <w:r>
        <w:rPr>
          <w:color w:val="auto"/>
          <w:highlight w:val="none"/>
        </w:rPr>
        <w:fldChar w:fldCharType="end"/>
      </w:r>
      <w:r>
        <w:rPr>
          <w:rFonts w:hint="eastAsia" w:ascii="黑体" w:hAnsi="黑体" w:eastAsia="黑体" w:cs="黑体"/>
          <w:color w:val="auto"/>
          <w:szCs w:val="21"/>
          <w:highlight w:val="none"/>
        </w:rPr>
        <w:fldChar w:fldCharType="end"/>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_Toc24785 </w:instrText>
      </w:r>
      <w:r>
        <w:rPr>
          <w:rFonts w:hint="eastAsia" w:ascii="黑体" w:hAnsi="黑体" w:eastAsia="黑体" w:cs="黑体"/>
          <w:color w:val="auto"/>
          <w:szCs w:val="21"/>
          <w:highlight w:val="none"/>
        </w:rPr>
        <w:fldChar w:fldCharType="separate"/>
      </w:r>
      <w:r>
        <w:rPr>
          <w:rFonts w:hint="eastAsia" w:ascii="黑体" w:hAnsi="黑体" w:eastAsia="黑体" w:cs="黑体"/>
          <w:bCs/>
          <w:color w:val="auto"/>
          <w:szCs w:val="32"/>
          <w:highlight w:val="none"/>
        </w:rPr>
        <w:t>第二章 投标资料表</w:t>
      </w:r>
      <w:r>
        <w:rPr>
          <w:color w:val="auto"/>
          <w:highlight w:val="none"/>
        </w:rPr>
        <w:tab/>
      </w:r>
      <w:r>
        <w:rPr>
          <w:color w:val="auto"/>
          <w:highlight w:val="none"/>
        </w:rPr>
        <w:fldChar w:fldCharType="begin"/>
      </w:r>
      <w:r>
        <w:rPr>
          <w:color w:val="auto"/>
          <w:highlight w:val="none"/>
        </w:rPr>
        <w:instrText xml:space="preserve"> PAGEREF _Toc24785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21"/>
          <w:highlight w:val="none"/>
        </w:rPr>
        <w:fldChar w:fldCharType="end"/>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_Toc6136 </w:instrText>
      </w:r>
      <w:r>
        <w:rPr>
          <w:rFonts w:hint="eastAsia" w:ascii="黑体" w:hAnsi="黑体" w:eastAsia="黑体" w:cs="黑体"/>
          <w:color w:val="auto"/>
          <w:szCs w:val="21"/>
          <w:highlight w:val="none"/>
        </w:rPr>
        <w:fldChar w:fldCharType="separate"/>
      </w:r>
      <w:r>
        <w:rPr>
          <w:rFonts w:hint="eastAsia" w:ascii="黑体" w:hAnsi="黑体" w:eastAsia="黑体" w:cs="黑体"/>
          <w:bCs/>
          <w:color w:val="auto"/>
          <w:szCs w:val="32"/>
          <w:highlight w:val="none"/>
        </w:rPr>
        <w:t>第三章 用户需求书</w:t>
      </w:r>
      <w:r>
        <w:rPr>
          <w:color w:val="auto"/>
          <w:highlight w:val="none"/>
        </w:rPr>
        <w:tab/>
      </w:r>
      <w:r>
        <w:rPr>
          <w:color w:val="auto"/>
          <w:highlight w:val="none"/>
        </w:rPr>
        <w:fldChar w:fldCharType="begin"/>
      </w:r>
      <w:r>
        <w:rPr>
          <w:color w:val="auto"/>
          <w:highlight w:val="none"/>
        </w:rPr>
        <w:instrText xml:space="preserve"> PAGEREF _Toc6136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21"/>
          <w:highlight w:val="none"/>
        </w:rPr>
        <w:fldChar w:fldCharType="end"/>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_Toc530 </w:instrText>
      </w:r>
      <w:r>
        <w:rPr>
          <w:rFonts w:hint="eastAsia" w:ascii="黑体" w:hAnsi="黑体" w:eastAsia="黑体" w:cs="黑体"/>
          <w:color w:val="auto"/>
          <w:szCs w:val="21"/>
          <w:highlight w:val="none"/>
        </w:rPr>
        <w:fldChar w:fldCharType="separate"/>
      </w:r>
      <w:r>
        <w:rPr>
          <w:rFonts w:hint="eastAsia" w:ascii="黑体" w:hAnsi="黑体" w:eastAsia="黑体" w:cs="黑体"/>
          <w:bCs/>
          <w:color w:val="auto"/>
          <w:szCs w:val="32"/>
          <w:highlight w:val="none"/>
        </w:rPr>
        <w:t>第四章 开标、评标、定标</w:t>
      </w:r>
      <w:r>
        <w:rPr>
          <w:color w:val="auto"/>
          <w:highlight w:val="none"/>
        </w:rPr>
        <w:tab/>
      </w:r>
      <w:r>
        <w:rPr>
          <w:color w:val="auto"/>
          <w:highlight w:val="none"/>
        </w:rPr>
        <w:fldChar w:fldCharType="begin"/>
      </w:r>
      <w:r>
        <w:rPr>
          <w:color w:val="auto"/>
          <w:highlight w:val="none"/>
        </w:rPr>
        <w:instrText xml:space="preserve"> PAGEREF _Toc530 \h </w:instrText>
      </w:r>
      <w:r>
        <w:rPr>
          <w:color w:val="auto"/>
          <w:highlight w:val="none"/>
        </w:rPr>
        <w:fldChar w:fldCharType="separate"/>
      </w:r>
      <w:r>
        <w:rPr>
          <w:color w:val="auto"/>
          <w:highlight w:val="none"/>
        </w:rPr>
        <w:t>16</w:t>
      </w:r>
      <w:r>
        <w:rPr>
          <w:color w:val="auto"/>
          <w:highlight w:val="none"/>
        </w:rPr>
        <w:fldChar w:fldCharType="end"/>
      </w:r>
      <w:r>
        <w:rPr>
          <w:rFonts w:hint="eastAsia" w:ascii="黑体" w:hAnsi="黑体" w:eastAsia="黑体" w:cs="黑体"/>
          <w:color w:val="auto"/>
          <w:szCs w:val="21"/>
          <w:highlight w:val="none"/>
        </w:rPr>
        <w:fldChar w:fldCharType="end"/>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_Toc6147 </w:instrText>
      </w:r>
      <w:r>
        <w:rPr>
          <w:rFonts w:hint="eastAsia" w:ascii="黑体" w:hAnsi="黑体" w:eastAsia="黑体" w:cs="黑体"/>
          <w:color w:val="auto"/>
          <w:szCs w:val="21"/>
          <w:highlight w:val="none"/>
        </w:rPr>
        <w:fldChar w:fldCharType="separate"/>
      </w:r>
      <w:r>
        <w:rPr>
          <w:rFonts w:hint="eastAsia" w:ascii="黑体" w:hAnsi="黑体" w:eastAsia="黑体" w:cs="黑体"/>
          <w:bCs/>
          <w:color w:val="auto"/>
          <w:szCs w:val="32"/>
          <w:highlight w:val="none"/>
        </w:rPr>
        <w:t>第五章 合同文本</w:t>
      </w:r>
      <w:r>
        <w:rPr>
          <w:color w:val="auto"/>
          <w:highlight w:val="none"/>
        </w:rPr>
        <w:tab/>
      </w:r>
      <w:r>
        <w:rPr>
          <w:color w:val="auto"/>
          <w:highlight w:val="none"/>
        </w:rPr>
        <w:fldChar w:fldCharType="begin"/>
      </w:r>
      <w:r>
        <w:rPr>
          <w:color w:val="auto"/>
          <w:highlight w:val="none"/>
        </w:rPr>
        <w:instrText xml:space="preserve"> PAGEREF _Toc6147 \h </w:instrText>
      </w:r>
      <w:r>
        <w:rPr>
          <w:color w:val="auto"/>
          <w:highlight w:val="none"/>
        </w:rPr>
        <w:fldChar w:fldCharType="separate"/>
      </w:r>
      <w:r>
        <w:rPr>
          <w:color w:val="auto"/>
          <w:highlight w:val="none"/>
        </w:rPr>
        <w:t>30</w:t>
      </w:r>
      <w:r>
        <w:rPr>
          <w:color w:val="auto"/>
          <w:highlight w:val="none"/>
        </w:rPr>
        <w:fldChar w:fldCharType="end"/>
      </w:r>
      <w:r>
        <w:rPr>
          <w:rFonts w:hint="eastAsia" w:ascii="黑体" w:hAnsi="黑体" w:eastAsia="黑体" w:cs="黑体"/>
          <w:color w:val="auto"/>
          <w:szCs w:val="21"/>
          <w:highlight w:val="none"/>
        </w:rPr>
        <w:fldChar w:fldCharType="end"/>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_Toc28794 </w:instrText>
      </w:r>
      <w:r>
        <w:rPr>
          <w:rFonts w:hint="eastAsia" w:ascii="黑体" w:hAnsi="黑体" w:eastAsia="黑体" w:cs="黑体"/>
          <w:color w:val="auto"/>
          <w:szCs w:val="21"/>
          <w:highlight w:val="none"/>
        </w:rPr>
        <w:fldChar w:fldCharType="separate"/>
      </w:r>
      <w:r>
        <w:rPr>
          <w:rFonts w:hint="eastAsia" w:ascii="黑体" w:hAnsi="黑体" w:eastAsia="黑体" w:cs="黑体"/>
          <w:bCs/>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49</w:t>
      </w:r>
      <w:r>
        <w:rPr>
          <w:color w:val="auto"/>
          <w:highlight w:val="none"/>
        </w:rPr>
        <w:fldChar w:fldCharType="end"/>
      </w:r>
      <w:r>
        <w:rPr>
          <w:rFonts w:hint="eastAsia" w:ascii="黑体" w:hAnsi="黑体" w:eastAsia="黑体" w:cs="黑体"/>
          <w:color w:val="auto"/>
          <w:szCs w:val="21"/>
          <w:highlight w:val="none"/>
        </w:rPr>
        <w:fldChar w:fldCharType="end"/>
      </w:r>
    </w:p>
    <w:p>
      <w:pPr>
        <w:pStyle w:val="29"/>
        <w:keepNext w:val="0"/>
        <w:keepLines w:val="0"/>
        <w:pageBreakBefore w:val="0"/>
        <w:widowControl w:val="0"/>
        <w:tabs>
          <w:tab w:val="right" w:leader="dot" w:pos="9026"/>
        </w:tabs>
        <w:kinsoku/>
        <w:wordWrap/>
        <w:overflowPunct/>
        <w:topLinePunct w:val="0"/>
        <w:autoSpaceDE/>
        <w:autoSpaceDN/>
        <w:bidi w:val="0"/>
        <w:adjustRightInd/>
        <w:spacing w:before="0" w:after="0" w:line="360" w:lineRule="auto"/>
        <w:textAlignment w:val="auto"/>
        <w:rPr>
          <w:color w:val="auto"/>
          <w:highlight w:val="none"/>
        </w:rPr>
      </w:pPr>
      <w:r>
        <w:rPr>
          <w:rFonts w:hint="eastAsia" w:ascii="黑体" w:hAnsi="黑体" w:eastAsia="黑体" w:cs="黑体"/>
          <w:color w:val="auto"/>
          <w:szCs w:val="21"/>
          <w:highlight w:val="none"/>
        </w:rPr>
        <w:fldChar w:fldCharType="begin"/>
      </w:r>
      <w:r>
        <w:rPr>
          <w:rFonts w:hint="eastAsia" w:ascii="黑体" w:hAnsi="黑体" w:eastAsia="黑体" w:cs="黑体"/>
          <w:color w:val="auto"/>
          <w:szCs w:val="21"/>
          <w:highlight w:val="none"/>
        </w:rPr>
        <w:instrText xml:space="preserve"> HYPERLINK \l _Toc20089 </w:instrText>
      </w:r>
      <w:r>
        <w:rPr>
          <w:rFonts w:hint="eastAsia" w:ascii="黑体" w:hAnsi="黑体" w:eastAsia="黑体" w:cs="黑体"/>
          <w:color w:val="auto"/>
          <w:szCs w:val="21"/>
          <w:highlight w:val="none"/>
        </w:rPr>
        <w:fldChar w:fldCharType="separate"/>
      </w:r>
      <w:r>
        <w:rPr>
          <w:rFonts w:hint="eastAsia" w:ascii="黑体" w:hAnsi="黑体" w:eastAsia="黑体" w:cs="黑体"/>
          <w:color w:val="auto"/>
          <w:kern w:val="2"/>
          <w:szCs w:val="32"/>
          <w:highlight w:val="none"/>
        </w:rPr>
        <w:t>第七章 投标人须知</w:t>
      </w:r>
      <w:r>
        <w:rPr>
          <w:color w:val="auto"/>
          <w:highlight w:val="none"/>
        </w:rPr>
        <w:tab/>
      </w:r>
      <w:r>
        <w:rPr>
          <w:color w:val="auto"/>
          <w:highlight w:val="none"/>
        </w:rPr>
        <w:fldChar w:fldCharType="begin"/>
      </w:r>
      <w:r>
        <w:rPr>
          <w:color w:val="auto"/>
          <w:highlight w:val="none"/>
        </w:rPr>
        <w:instrText xml:space="preserve"> PAGEREF _Toc20089 \h </w:instrText>
      </w:r>
      <w:r>
        <w:rPr>
          <w:color w:val="auto"/>
          <w:highlight w:val="none"/>
        </w:rPr>
        <w:fldChar w:fldCharType="separate"/>
      </w:r>
      <w:r>
        <w:rPr>
          <w:color w:val="auto"/>
          <w:highlight w:val="none"/>
        </w:rPr>
        <w:t>76</w:t>
      </w:r>
      <w:r>
        <w:rPr>
          <w:color w:val="auto"/>
          <w:highlight w:val="none"/>
        </w:rPr>
        <w:fldChar w:fldCharType="end"/>
      </w:r>
      <w:r>
        <w:rPr>
          <w:rFonts w:hint="eastAsia" w:ascii="黑体" w:hAnsi="黑体" w:eastAsia="黑体" w:cs="黑体"/>
          <w:color w:val="auto"/>
          <w:szCs w:val="21"/>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auto"/>
          <w:szCs w:val="32"/>
          <w:highlight w:val="none"/>
        </w:rPr>
      </w:pPr>
      <w:r>
        <w:rPr>
          <w:rFonts w:hint="eastAsia" w:ascii="黑体" w:hAnsi="黑体" w:eastAsia="黑体" w:cs="黑体"/>
          <w:color w:val="auto"/>
          <w:szCs w:val="21"/>
          <w:highlight w:val="none"/>
        </w:rPr>
        <w:fldChar w:fldCharType="end"/>
      </w:r>
    </w:p>
    <w:p>
      <w:pPr>
        <w:spacing w:line="360" w:lineRule="auto"/>
        <w:jc w:val="center"/>
        <w:rPr>
          <w:rFonts w:ascii="宋体" w:hAnsi="宋体" w:cs="宋体"/>
          <w:color w:val="auto"/>
          <w:szCs w:val="32"/>
          <w:highlight w:val="none"/>
        </w:rPr>
      </w:pPr>
    </w:p>
    <w:p>
      <w:pPr>
        <w:spacing w:line="360" w:lineRule="auto"/>
        <w:jc w:val="center"/>
        <w:rPr>
          <w:rFonts w:ascii="宋体" w:hAnsi="宋体" w:cs="宋体"/>
          <w:strike/>
          <w:color w:val="auto"/>
          <w:sz w:val="24"/>
          <w:highlight w:val="none"/>
        </w:rPr>
      </w:pPr>
    </w:p>
    <w:p>
      <w:pPr>
        <w:spacing w:beforeLines="50" w:afterLines="50" w:line="360" w:lineRule="auto"/>
        <w:jc w:val="center"/>
        <w:outlineLvl w:val="0"/>
        <w:rPr>
          <w:rFonts w:ascii="宋体" w:hAnsi="宋体" w:cs="宋体"/>
          <w:b/>
          <w:bCs/>
          <w:color w:val="auto"/>
          <w:sz w:val="28"/>
          <w:szCs w:val="28"/>
          <w:highlight w:val="none"/>
        </w:rPr>
        <w:sectPr>
          <w:footerReference r:id="rId11" w:type="default"/>
          <w:pgSz w:w="11906" w:h="16838"/>
          <w:pgMar w:top="1440" w:right="1440" w:bottom="1440" w:left="1440" w:header="794" w:footer="992" w:gutter="0"/>
          <w:pgNumType w:fmt="decimal"/>
          <w:cols w:space="720" w:num="1"/>
          <w:docGrid w:type="lines" w:linePitch="312" w:charSpace="0"/>
        </w:sectPr>
      </w:pPr>
    </w:p>
    <w:p>
      <w:pPr>
        <w:spacing w:beforeLines="50" w:afterLines="50" w:line="360" w:lineRule="auto"/>
        <w:jc w:val="center"/>
        <w:outlineLvl w:val="0"/>
        <w:rPr>
          <w:rFonts w:ascii="黑体" w:hAnsi="黑体" w:eastAsia="黑体" w:cs="黑体"/>
          <w:b/>
          <w:bCs/>
          <w:color w:val="auto"/>
          <w:sz w:val="32"/>
          <w:szCs w:val="32"/>
          <w:highlight w:val="none"/>
        </w:rPr>
      </w:pPr>
      <w:bookmarkStart w:id="2" w:name="_Toc11719"/>
      <w:bookmarkStart w:id="3" w:name="_Toc520811879"/>
      <w:r>
        <w:rPr>
          <w:rFonts w:hint="eastAsia" w:ascii="黑体" w:hAnsi="黑体" w:eastAsia="黑体" w:cs="黑体"/>
          <w:b/>
          <w:bCs/>
          <w:color w:val="auto"/>
          <w:sz w:val="32"/>
          <w:szCs w:val="32"/>
          <w:highlight w:val="none"/>
        </w:rPr>
        <w:t>第一章 投标邀请</w:t>
      </w:r>
      <w:bookmarkEnd w:id="0"/>
      <w:bookmarkEnd w:id="1"/>
      <w:bookmarkEnd w:id="2"/>
      <w:bookmarkEnd w:id="3"/>
    </w:p>
    <w:p>
      <w:pPr>
        <w:pBdr>
          <w:top w:val="single" w:color="auto" w:sz="4" w:space="1"/>
          <w:left w:val="single" w:color="auto" w:sz="4" w:space="4"/>
          <w:bottom w:val="single" w:color="auto" w:sz="4" w:space="1"/>
          <w:right w:val="single" w:color="auto" w:sz="4" w:space="4"/>
        </w:pBdr>
        <w:snapToGrid w:val="0"/>
        <w:spacing w:beforeLines="50" w:afterLines="2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项目概况</w:t>
      </w:r>
      <w:r>
        <w:rPr>
          <w:rFonts w:hint="eastAsia" w:ascii="宋体" w:hAnsi="宋体" w:cs="宋体"/>
          <w:b/>
          <w:bCs/>
          <w:color w:val="auto"/>
          <w:szCs w:val="21"/>
          <w:highlight w:val="none"/>
        </w:rPr>
        <w:tab/>
      </w:r>
    </w:p>
    <w:p>
      <w:pPr>
        <w:pBdr>
          <w:top w:val="single" w:color="auto" w:sz="4" w:space="1"/>
          <w:left w:val="single" w:color="auto" w:sz="4" w:space="4"/>
          <w:bottom w:val="single" w:color="auto" w:sz="4" w:space="1"/>
          <w:right w:val="single" w:color="auto" w:sz="4" w:space="4"/>
        </w:pBdr>
        <w:snapToGrid w:val="0"/>
        <w:spacing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南海出入境边防检查站物业管理服务项目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佛山市季华五路金源街8号国贸大厦8楼中达安股份有限公司</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2021</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点</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分（北京时间）前递交投标文件。</w:t>
      </w:r>
    </w:p>
    <w:p>
      <w:pPr>
        <w:pStyle w:val="4"/>
        <w:snapToGrid w:val="0"/>
        <w:spacing w:before="0" w:after="0" w:line="360" w:lineRule="auto"/>
        <w:rPr>
          <w:rFonts w:ascii="宋体" w:hAnsi="宋体" w:eastAsia="宋体" w:cs="宋体"/>
          <w:bCs w:val="0"/>
          <w:color w:val="auto"/>
          <w:sz w:val="21"/>
          <w:szCs w:val="21"/>
          <w:highlight w:val="none"/>
        </w:rPr>
      </w:pPr>
      <w:bookmarkStart w:id="4" w:name="_Toc28359002"/>
      <w:bookmarkStart w:id="5" w:name="_Toc35393790"/>
      <w:bookmarkStart w:id="6" w:name="_Toc28359079"/>
      <w:bookmarkStart w:id="7" w:name="_Toc35393621"/>
      <w:bookmarkStart w:id="8" w:name="_Toc18826"/>
      <w:bookmarkStart w:id="9" w:name="_Hlk24379207"/>
      <w:r>
        <w:rPr>
          <w:rFonts w:hint="eastAsia" w:ascii="宋体" w:hAnsi="宋体" w:eastAsia="宋体" w:cs="宋体"/>
          <w:bCs w:val="0"/>
          <w:color w:val="auto"/>
          <w:sz w:val="21"/>
          <w:szCs w:val="21"/>
          <w:highlight w:val="none"/>
        </w:rPr>
        <w:t>一、项目基本情况</w:t>
      </w:r>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ZDAZB-FS-2021020</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bookmarkEnd w:id="9"/>
      <w:r>
        <w:rPr>
          <w:rFonts w:hint="eastAsia" w:ascii="宋体" w:hAnsi="宋体" w:cs="宋体"/>
          <w:color w:val="auto"/>
          <w:szCs w:val="21"/>
          <w:highlight w:val="none"/>
          <w:lang w:eastAsia="zh-CN"/>
        </w:rPr>
        <w:t>南海出入境边防检查站物业管理服务项目</w:t>
      </w:r>
    </w:p>
    <w:p>
      <w:pPr>
        <w:pStyle w:val="2"/>
        <w:keepNext w:val="0"/>
        <w:keepLines w:val="0"/>
        <w:pageBreakBefore w:val="0"/>
        <w:widowControl w:val="0"/>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color w:val="auto"/>
          <w:sz w:val="21"/>
          <w:highlight w:val="none"/>
        </w:rPr>
        <w:t>采购方式：公开招标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月度物业管理服务费预算价139982.96元，服务期总预算价</w:t>
      </w:r>
      <w:r>
        <w:rPr>
          <w:rFonts w:hint="eastAsia" w:ascii="宋体" w:hAnsi="宋体" w:cs="宋体"/>
          <w:color w:val="auto"/>
          <w:szCs w:val="21"/>
          <w:highlight w:val="none"/>
          <w:lang w:eastAsia="zh-CN"/>
        </w:rPr>
        <w:t>2239727.36</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采购需求：</w:t>
      </w:r>
      <w:r>
        <w:rPr>
          <w:rFonts w:hint="eastAsia" w:ascii="宋体" w:hAnsi="宋体" w:cs="宋体"/>
          <w:bCs/>
          <w:color w:val="auto"/>
          <w:szCs w:val="21"/>
          <w:highlight w:val="none"/>
        </w:rPr>
        <w:t>（包括但不限于标的的名称、数量、简要技术需求或服务要求等）</w:t>
      </w:r>
    </w:p>
    <w:tbl>
      <w:tblPr>
        <w:tblStyle w:val="40"/>
        <w:tblW w:w="45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310"/>
        <w:gridCol w:w="3541"/>
        <w:gridCol w:w="15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82" w:type="pct"/>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采购内容</w:t>
            </w:r>
          </w:p>
        </w:tc>
        <w:tc>
          <w:tcPr>
            <w:tcW w:w="786" w:type="pct"/>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2124" w:type="pct"/>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预算金额</w:t>
            </w:r>
            <w:r>
              <w:rPr>
                <w:rFonts w:hint="eastAsia" w:ascii="宋体" w:hAnsi="宋体" w:cs="宋体"/>
                <w:b/>
                <w:bCs/>
                <w:color w:val="auto"/>
                <w:szCs w:val="21"/>
                <w:highlight w:val="none"/>
              </w:rPr>
              <w:t>（人民币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元</w:t>
            </w:r>
            <w:r>
              <w:rPr>
                <w:rFonts w:hint="eastAsia" w:ascii="宋体" w:hAnsi="宋体" w:cs="宋体"/>
                <w:b/>
                <w:bCs/>
                <w:color w:val="auto"/>
                <w:szCs w:val="21"/>
                <w:highlight w:val="none"/>
              </w:rPr>
              <w:t>）</w:t>
            </w:r>
          </w:p>
        </w:tc>
        <w:tc>
          <w:tcPr>
            <w:tcW w:w="906" w:type="pct"/>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中标人数量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971" w:type="dxa"/>
            <w:vAlign w:val="center"/>
          </w:tcPr>
          <w:p>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物业管理服务</w:t>
            </w:r>
          </w:p>
        </w:tc>
        <w:tc>
          <w:tcPr>
            <w:tcW w:w="1310" w:type="dxa"/>
            <w:vAlign w:val="center"/>
          </w:tcPr>
          <w:p>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1项</w:t>
            </w:r>
          </w:p>
        </w:tc>
        <w:tc>
          <w:tcPr>
            <w:tcW w:w="3541" w:type="dxa"/>
            <w:vAlign w:val="center"/>
          </w:tcPr>
          <w:p>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月度物业管理服务费预算价为139982.96元，</w:t>
            </w:r>
            <w:r>
              <w:rPr>
                <w:rFonts w:hint="eastAsia" w:ascii="宋体" w:hAnsi="宋体" w:cs="宋体"/>
                <w:bCs/>
                <w:color w:val="auto"/>
                <w:szCs w:val="21"/>
                <w:highlight w:val="none"/>
                <w:lang w:eastAsia="zh-CN"/>
              </w:rPr>
              <w:t>服务期总预算价</w:t>
            </w:r>
            <w:r>
              <w:rPr>
                <w:rFonts w:hint="eastAsia" w:ascii="宋体" w:hAnsi="宋体" w:cs="宋体"/>
                <w:bCs/>
                <w:color w:val="auto"/>
                <w:szCs w:val="21"/>
                <w:highlight w:val="none"/>
              </w:rPr>
              <w:t>为2239727.36元</w:t>
            </w:r>
          </w:p>
        </w:tc>
        <w:tc>
          <w:tcPr>
            <w:tcW w:w="1511" w:type="dxa"/>
            <w:vAlign w:val="center"/>
          </w:tcPr>
          <w:p>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1家中标人</w:t>
            </w:r>
          </w:p>
        </w:tc>
      </w:tr>
    </w:tbl>
    <w:p>
      <w:pPr>
        <w:pStyle w:val="2"/>
        <w:rPr>
          <w:rFonts w:hint="eastAsia" w:ascii="宋体" w:hAnsi="宋体" w:cs="宋体"/>
          <w:color w:val="auto"/>
          <w:sz w:val="21"/>
          <w:highlight w:val="none"/>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 w:val="21"/>
          <w:highlight w:val="none"/>
        </w:rPr>
      </w:pPr>
      <w:r>
        <w:rPr>
          <w:rFonts w:hint="eastAsia" w:ascii="宋体" w:hAnsi="宋体" w:cs="宋体"/>
          <w:color w:val="auto"/>
          <w:sz w:val="21"/>
          <w:highlight w:val="none"/>
        </w:rPr>
        <w:t>本项目为南海出入境边防检查站物业管理服务项目，</w:t>
      </w:r>
      <w:r>
        <w:rPr>
          <w:rFonts w:hint="eastAsia" w:ascii="宋体" w:hAnsi="宋体" w:cs="宋体"/>
          <w:color w:val="auto"/>
          <w:sz w:val="21"/>
          <w:highlight w:val="none"/>
          <w:lang w:val="en-US" w:eastAsia="zh-CN"/>
        </w:rPr>
        <w:t>服务内容</w:t>
      </w:r>
      <w:r>
        <w:rPr>
          <w:rFonts w:hint="eastAsia" w:ascii="宋体" w:hAnsi="宋体" w:cs="宋体"/>
          <w:color w:val="auto"/>
          <w:sz w:val="21"/>
          <w:highlight w:val="none"/>
        </w:rPr>
        <w:t>包括：会务、安保、绿化、水电设备维护、清洁、饭堂外包工作等。具体详见用户需求书。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自2021年9月1日至2022年12月31日止</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p>
      <w:pPr>
        <w:pStyle w:val="17"/>
        <w:rPr>
          <w:color w:val="auto"/>
          <w:highlight w:val="none"/>
        </w:rPr>
      </w:pPr>
    </w:p>
    <w:p>
      <w:pPr>
        <w:pStyle w:val="4"/>
        <w:snapToGrid w:val="0"/>
        <w:spacing w:before="0" w:after="0" w:line="360" w:lineRule="auto"/>
        <w:rPr>
          <w:rFonts w:ascii="宋体" w:hAnsi="宋体" w:eastAsia="宋体" w:cs="宋体"/>
          <w:bCs w:val="0"/>
          <w:color w:val="auto"/>
          <w:sz w:val="21"/>
          <w:szCs w:val="21"/>
          <w:highlight w:val="none"/>
        </w:rPr>
      </w:pPr>
      <w:bookmarkStart w:id="10" w:name="_Toc32128"/>
      <w:bookmarkStart w:id="11" w:name="_Toc28359003"/>
      <w:bookmarkStart w:id="12" w:name="_Toc28359080"/>
      <w:bookmarkStart w:id="13" w:name="_Toc35393622"/>
      <w:bookmarkStart w:id="14" w:name="_Toc35393791"/>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Cs/>
          <w:color w:val="auto"/>
          <w:kern w:val="0"/>
          <w:szCs w:val="21"/>
          <w:highlight w:val="none"/>
        </w:rPr>
        <w:t>本项目不属于专门面向中小企业采购的项目。</w:t>
      </w:r>
      <w:r>
        <w:rPr>
          <w:rFonts w:hint="eastAsia" w:ascii="宋体" w:hAnsi="Times New Roman"/>
          <w:bCs/>
          <w:color w:val="auto"/>
          <w:szCs w:val="21"/>
          <w:highlight w:val="none"/>
        </w:rPr>
        <w:t>需落实政府采购政策为：促进中小企业发展政策、支持监狱企业发展政策、支持残疾人福利性单位发展政策等</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3.1为采购项目提供整体设计、规范编制或者项目管理、监理、检测等服务的供应商，不得再参加该采购项目同一合同项下的其他采购活动。（提供《投标人资格声明函》）</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3.2单位负责人为同一人或者存在直接控股、管理关系的不同供应商，不得参加同一合同项下的政府采购活动。（提供《投标人资格声明函》）</w:t>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 xml:space="preserve">3.3投标人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 。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bCs/>
          <w:color w:val="auto"/>
          <w:szCs w:val="21"/>
          <w:highlight w:val="none"/>
        </w:rPr>
        <w:t>本项目不接受联合体参与</w:t>
      </w:r>
      <w:r>
        <w:rPr>
          <w:rFonts w:hint="eastAsia" w:ascii="宋体" w:hAnsi="宋体" w:cs="宋体"/>
          <w:color w:val="auto"/>
          <w:szCs w:val="21"/>
          <w:highlight w:val="none"/>
        </w:rPr>
        <w:t>。</w:t>
      </w:r>
    </w:p>
    <w:p>
      <w:pPr>
        <w:pStyle w:val="17"/>
        <w:rPr>
          <w:color w:val="auto"/>
          <w:highlight w:val="none"/>
        </w:rPr>
      </w:pPr>
    </w:p>
    <w:p>
      <w:pPr>
        <w:pStyle w:val="4"/>
        <w:snapToGrid w:val="0"/>
        <w:spacing w:before="0" w:after="0" w:line="360" w:lineRule="auto"/>
        <w:rPr>
          <w:rFonts w:ascii="宋体" w:hAnsi="宋体" w:eastAsia="宋体" w:cs="宋体"/>
          <w:bCs w:val="0"/>
          <w:color w:val="auto"/>
          <w:sz w:val="21"/>
          <w:szCs w:val="21"/>
          <w:highlight w:val="none"/>
        </w:rPr>
      </w:pPr>
      <w:bookmarkStart w:id="15" w:name="_Toc35393792"/>
      <w:bookmarkStart w:id="16" w:name="_Toc35393623"/>
      <w:bookmarkStart w:id="17" w:name="_Toc10061"/>
      <w:r>
        <w:rPr>
          <w:rFonts w:hint="eastAsia" w:ascii="宋体" w:hAnsi="宋体" w:eastAsia="宋体" w:cs="宋体"/>
          <w:bCs w:val="0"/>
          <w:color w:val="auto"/>
          <w:sz w:val="21"/>
          <w:szCs w:val="21"/>
          <w:highlight w:val="none"/>
        </w:rPr>
        <w:t>三、获取招标文件</w:t>
      </w:r>
      <w:bookmarkEnd w:id="15"/>
      <w:bookmarkEnd w:id="16"/>
      <w:bookmarkEnd w:id="17"/>
    </w:p>
    <w:p>
      <w:pPr>
        <w:snapToGrid w:val="0"/>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2021 年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 xml:space="preserve">日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2021 年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 xml:space="preserve"> 日 </w:t>
      </w:r>
      <w:r>
        <w:rPr>
          <w:rFonts w:hint="eastAsia" w:ascii="宋体" w:hAnsi="宋体" w:cs="宋体"/>
          <w:iCs/>
          <w:color w:val="auto"/>
          <w:szCs w:val="21"/>
          <w:highlight w:val="none"/>
          <w:u w:val="single"/>
        </w:rPr>
        <w:t>（提供期限自本公告发布之日起不得少于5个工作日）</w:t>
      </w:r>
      <w:r>
        <w:rPr>
          <w:rFonts w:hint="eastAsia" w:ascii="宋体" w:hAnsi="宋体" w:cs="宋体"/>
          <w:color w:val="auto"/>
          <w:szCs w:val="21"/>
          <w:highlight w:val="none"/>
        </w:rPr>
        <w:t>，每天上午</w:t>
      </w:r>
      <w:r>
        <w:rPr>
          <w:rFonts w:hint="eastAsia" w:ascii="宋体" w:hAnsi="宋体" w:cs="宋体"/>
          <w:color w:val="auto"/>
          <w:szCs w:val="21"/>
          <w:highlight w:val="none"/>
          <w:u w:val="single"/>
        </w:rPr>
        <w:t>8：30</w:t>
      </w:r>
      <w:r>
        <w:rPr>
          <w:rFonts w:hint="eastAsia" w:ascii="宋体" w:hAnsi="宋体" w:cs="宋体"/>
          <w:color w:val="auto"/>
          <w:szCs w:val="21"/>
          <w:highlight w:val="none"/>
        </w:rPr>
        <w:t>至</w:t>
      </w:r>
      <w:r>
        <w:rPr>
          <w:rFonts w:hint="eastAsia" w:ascii="宋体" w:hAnsi="宋体" w:cs="宋体"/>
          <w:color w:val="auto"/>
          <w:szCs w:val="21"/>
          <w:highlight w:val="none"/>
          <w:u w:val="single"/>
        </w:rPr>
        <w:t>12：00</w:t>
      </w:r>
      <w:r>
        <w:rPr>
          <w:rFonts w:hint="eastAsia" w:ascii="宋体" w:hAnsi="宋体" w:cs="宋体"/>
          <w:color w:val="auto"/>
          <w:szCs w:val="21"/>
          <w:highlight w:val="none"/>
        </w:rPr>
        <w:t>，下午</w:t>
      </w:r>
      <w:r>
        <w:rPr>
          <w:rFonts w:hint="eastAsia" w:ascii="宋体" w:hAnsi="宋体" w:cs="宋体"/>
          <w:color w:val="auto"/>
          <w:szCs w:val="21"/>
          <w:highlight w:val="none"/>
          <w:u w:val="single"/>
        </w:rPr>
        <w:t>14：00</w:t>
      </w:r>
      <w:r>
        <w:rPr>
          <w:rFonts w:hint="eastAsia" w:ascii="宋体" w:hAnsi="宋体" w:cs="宋体"/>
          <w:color w:val="auto"/>
          <w:szCs w:val="21"/>
          <w:highlight w:val="none"/>
        </w:rPr>
        <w:t>至</w:t>
      </w:r>
      <w:r>
        <w:rPr>
          <w:rFonts w:hint="eastAsia" w:ascii="宋体" w:hAnsi="宋体" w:cs="宋体"/>
          <w:color w:val="auto"/>
          <w:szCs w:val="21"/>
          <w:highlight w:val="none"/>
          <w:u w:val="single"/>
        </w:rPr>
        <w:t>17：30</w:t>
      </w:r>
      <w:r>
        <w:rPr>
          <w:rFonts w:hint="eastAsia" w:ascii="宋体" w:hAnsi="宋体" w:cs="宋体"/>
          <w:color w:val="auto"/>
          <w:szCs w:val="21"/>
          <w:highlight w:val="none"/>
        </w:rPr>
        <w:t>（北京时间，法定节假日除外）。</w:t>
      </w:r>
    </w:p>
    <w:p>
      <w:pPr>
        <w:snapToGrid w:val="0"/>
        <w:spacing w:line="360" w:lineRule="auto"/>
        <w:ind w:firstLine="540"/>
        <w:rPr>
          <w:rFonts w:ascii="宋体" w:hAnsi="宋体" w:cs="宋体"/>
          <w:color w:val="auto"/>
          <w:szCs w:val="21"/>
          <w:highlight w:val="none"/>
          <w:u w:val="single"/>
        </w:rPr>
      </w:pPr>
      <w:r>
        <w:rPr>
          <w:rFonts w:hint="eastAsia" w:ascii="宋体" w:hAnsi="宋体" w:cs="宋体"/>
          <w:color w:val="auto"/>
          <w:szCs w:val="21"/>
          <w:highlight w:val="none"/>
        </w:rPr>
        <w:t>地点：佛山市季华五路金源街8号国贸大厦8楼中达安股份有限公司。</w:t>
      </w:r>
    </w:p>
    <w:p>
      <w:pPr>
        <w:snapToGrid w:val="0"/>
        <w:spacing w:line="360" w:lineRule="auto"/>
        <w:ind w:firstLine="540"/>
        <w:rPr>
          <w:rFonts w:ascii="宋体" w:hAnsi="宋体" w:cs="宋体"/>
          <w:color w:val="auto"/>
          <w:szCs w:val="21"/>
          <w:highlight w:val="none"/>
          <w:u w:val="single"/>
        </w:rPr>
      </w:pPr>
      <w:r>
        <w:rPr>
          <w:rFonts w:hint="eastAsia" w:ascii="宋体" w:hAnsi="宋体" w:cs="宋体"/>
          <w:color w:val="auto"/>
          <w:szCs w:val="21"/>
          <w:highlight w:val="none"/>
        </w:rPr>
        <w:t>方式：按照上述时间、地点获取招标文件。</w:t>
      </w:r>
    </w:p>
    <w:p>
      <w:pPr>
        <w:snapToGrid w:val="0"/>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售价：每套售价人民币</w:t>
      </w:r>
      <w:r>
        <w:rPr>
          <w:rFonts w:hint="eastAsia" w:hAnsi="宋体" w:cs="宋体"/>
          <w:color w:val="auto"/>
          <w:szCs w:val="21"/>
          <w:highlight w:val="none"/>
        </w:rPr>
        <w:t>3</w:t>
      </w:r>
      <w:r>
        <w:rPr>
          <w:rFonts w:hint="eastAsia" w:ascii="宋体" w:hAnsi="宋体" w:cs="宋体"/>
          <w:color w:val="auto"/>
          <w:szCs w:val="21"/>
          <w:highlight w:val="none"/>
        </w:rPr>
        <w:t>00.00元，售后不退。</w:t>
      </w:r>
    </w:p>
    <w:p>
      <w:pPr>
        <w:pStyle w:val="17"/>
        <w:rPr>
          <w:color w:val="auto"/>
          <w:highlight w:val="none"/>
        </w:rPr>
      </w:pPr>
    </w:p>
    <w:p>
      <w:pPr>
        <w:pStyle w:val="4"/>
        <w:snapToGrid w:val="0"/>
        <w:spacing w:before="0" w:after="0" w:line="360" w:lineRule="auto"/>
        <w:rPr>
          <w:rFonts w:ascii="宋体" w:hAnsi="宋体" w:eastAsia="宋体" w:cs="宋体"/>
          <w:bCs w:val="0"/>
          <w:color w:val="auto"/>
          <w:sz w:val="21"/>
          <w:szCs w:val="21"/>
          <w:highlight w:val="none"/>
        </w:rPr>
      </w:pPr>
      <w:bookmarkStart w:id="18" w:name="_Toc28359005"/>
      <w:bookmarkStart w:id="19" w:name="_Toc28359082"/>
      <w:bookmarkStart w:id="20" w:name="_Toc35393793"/>
      <w:bookmarkStart w:id="21" w:name="_Toc35393624"/>
      <w:bookmarkStart w:id="22" w:name="_Toc1673"/>
      <w:r>
        <w:rPr>
          <w:rFonts w:hint="eastAsia" w:ascii="宋体" w:hAnsi="宋体" w:eastAsia="宋体" w:cs="宋体"/>
          <w:bCs w:val="0"/>
          <w:color w:val="auto"/>
          <w:sz w:val="21"/>
          <w:szCs w:val="21"/>
          <w:highlight w:val="none"/>
        </w:rPr>
        <w:t>四、提交投标文件</w:t>
      </w:r>
      <w:bookmarkEnd w:id="18"/>
      <w:bookmarkEnd w:id="19"/>
      <w:r>
        <w:rPr>
          <w:rFonts w:hint="eastAsia" w:ascii="宋体" w:hAnsi="宋体" w:eastAsia="宋体" w:cs="宋体"/>
          <w:bCs w:val="0"/>
          <w:color w:val="auto"/>
          <w:sz w:val="21"/>
          <w:szCs w:val="21"/>
          <w:highlight w:val="none"/>
        </w:rPr>
        <w:t>截止时间、开标时间和地点</w:t>
      </w:r>
      <w:bookmarkEnd w:id="20"/>
      <w:bookmarkEnd w:id="21"/>
      <w:bookmarkEnd w:id="22"/>
    </w:p>
    <w:p>
      <w:pPr>
        <w:snapToGrid w:val="0"/>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提交投标文件截止时间：</w:t>
      </w:r>
      <w:r>
        <w:rPr>
          <w:rFonts w:hint="eastAsia" w:ascii="宋体" w:hAnsi="宋体" w:cs="宋体"/>
          <w:color w:val="auto"/>
          <w:szCs w:val="21"/>
          <w:highlight w:val="none"/>
          <w:u w:val="single"/>
        </w:rPr>
        <w:t xml:space="preserve">2021 年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日 9 点 30 分</w:t>
      </w:r>
      <w:r>
        <w:rPr>
          <w:rFonts w:hint="eastAsia" w:ascii="宋体" w:hAnsi="宋体" w:cs="宋体"/>
          <w:color w:val="auto"/>
          <w:szCs w:val="21"/>
          <w:highlight w:val="none"/>
        </w:rPr>
        <w:t>（北京时间）（自招标文件开始发出之日起至投标人提交投标文件截止之日止，不得少于20日）。</w:t>
      </w:r>
    </w:p>
    <w:p>
      <w:pPr>
        <w:snapToGrid w:val="0"/>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 xml:space="preserve">2021 年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日9点30分</w:t>
      </w:r>
      <w:r>
        <w:rPr>
          <w:rFonts w:hint="eastAsia" w:ascii="宋体" w:hAnsi="宋体" w:cs="宋体"/>
          <w:color w:val="auto"/>
          <w:szCs w:val="21"/>
          <w:highlight w:val="none"/>
        </w:rPr>
        <w:t>（北京时间）</w:t>
      </w:r>
    </w:p>
    <w:p>
      <w:pPr>
        <w:snapToGrid w:val="0"/>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地点：佛山市季华五路金源街8号国贸大厦8楼中达安股份有限公司开标会议室。</w:t>
      </w:r>
    </w:p>
    <w:p>
      <w:pPr>
        <w:pStyle w:val="17"/>
        <w:rPr>
          <w:color w:val="auto"/>
          <w:highlight w:val="none"/>
        </w:rPr>
      </w:pPr>
    </w:p>
    <w:p>
      <w:pPr>
        <w:pStyle w:val="4"/>
        <w:snapToGrid w:val="0"/>
        <w:spacing w:before="0" w:after="0" w:line="360" w:lineRule="auto"/>
        <w:rPr>
          <w:rFonts w:ascii="宋体" w:hAnsi="宋体" w:eastAsia="宋体" w:cs="宋体"/>
          <w:bCs w:val="0"/>
          <w:color w:val="auto"/>
          <w:sz w:val="21"/>
          <w:szCs w:val="21"/>
          <w:highlight w:val="none"/>
        </w:rPr>
      </w:pPr>
      <w:bookmarkStart w:id="23" w:name="_Toc28359007"/>
      <w:bookmarkStart w:id="24" w:name="_Toc35393794"/>
      <w:bookmarkStart w:id="25" w:name="_Toc28359084"/>
      <w:bookmarkStart w:id="26" w:name="_Toc2530"/>
      <w:bookmarkStart w:id="27" w:name="_Toc35393625"/>
      <w:r>
        <w:rPr>
          <w:rFonts w:hint="eastAsia" w:ascii="宋体" w:hAnsi="宋体" w:eastAsia="宋体" w:cs="宋体"/>
          <w:bCs w:val="0"/>
          <w:color w:val="auto"/>
          <w:sz w:val="21"/>
          <w:szCs w:val="21"/>
          <w:highlight w:val="none"/>
        </w:rPr>
        <w:t>五、公告期限</w:t>
      </w:r>
      <w:bookmarkEnd w:id="23"/>
      <w:bookmarkEnd w:id="24"/>
      <w:bookmarkEnd w:id="25"/>
      <w:bookmarkEnd w:id="26"/>
      <w:bookmarkEnd w:id="27"/>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pStyle w:val="17"/>
        <w:rPr>
          <w:color w:val="auto"/>
          <w:highlight w:val="none"/>
        </w:rPr>
      </w:pPr>
    </w:p>
    <w:p>
      <w:pPr>
        <w:pStyle w:val="4"/>
        <w:numPr>
          <w:ilvl w:val="0"/>
          <w:numId w:val="3"/>
        </w:numPr>
        <w:snapToGrid w:val="0"/>
        <w:spacing w:before="0" w:after="0" w:line="360" w:lineRule="auto"/>
        <w:rPr>
          <w:rFonts w:ascii="宋体" w:hAnsi="宋体" w:eastAsia="宋体" w:cs="宋体"/>
          <w:bCs w:val="0"/>
          <w:color w:val="auto"/>
          <w:sz w:val="21"/>
          <w:szCs w:val="21"/>
          <w:highlight w:val="none"/>
        </w:rPr>
      </w:pPr>
      <w:bookmarkStart w:id="28" w:name="_Toc35393626"/>
      <w:bookmarkStart w:id="29" w:name="_Toc14303"/>
      <w:bookmarkStart w:id="30" w:name="_Toc35393795"/>
      <w:r>
        <w:rPr>
          <w:rFonts w:hint="eastAsia" w:ascii="宋体" w:hAnsi="宋体" w:eastAsia="宋体" w:cs="宋体"/>
          <w:bCs w:val="0"/>
          <w:color w:val="auto"/>
          <w:sz w:val="21"/>
          <w:szCs w:val="21"/>
          <w:highlight w:val="none"/>
        </w:rPr>
        <w:t>其他补充事宜</w:t>
      </w:r>
      <w:bookmarkEnd w:id="28"/>
      <w:bookmarkEnd w:id="29"/>
      <w:bookmarkEnd w:id="30"/>
    </w:p>
    <w:p>
      <w:pPr>
        <w:snapToGrid w:val="0"/>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1、获取招标文件，投标人可通过现场微信转账、现金或银行转账等方式缴纳费用。（存款账户：①户名：洪旭灵；②开户银行：中国建设银行股份有限公司惠州城南支行；③账号：6217 0031 7001 8565 673；④款项来源：</w:t>
      </w:r>
      <w:r>
        <w:rPr>
          <w:rFonts w:hint="eastAsia" w:ascii="宋体" w:hAnsi="宋体" w:cs="宋体"/>
          <w:color w:val="auto"/>
          <w:szCs w:val="21"/>
          <w:highlight w:val="none"/>
          <w:lang w:eastAsia="zh-CN"/>
        </w:rPr>
        <w:t>ZDAZB-FS-2021020</w:t>
      </w:r>
      <w:r>
        <w:rPr>
          <w:rFonts w:hint="eastAsia" w:ascii="宋体" w:hAnsi="宋体" w:cs="宋体"/>
          <w:color w:val="auto"/>
          <w:szCs w:val="21"/>
          <w:highlight w:val="none"/>
        </w:rPr>
        <w:t xml:space="preserve">  招标文件费。）</w:t>
      </w:r>
    </w:p>
    <w:p>
      <w:pPr>
        <w:snapToGrid w:val="0"/>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2、需要落实的政府采购政策：《政府采购促进中小企业发展管理办法&gt;的通知》(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市场监管总局关于调整优化节能产品、环境标志产品政府采购执行机制的通知》（财库〔2019〕9号）、《关于运用政府采购政策支持脱贫攻坚的通知》（财库〔2019〕27号）等。</w:t>
      </w:r>
    </w:p>
    <w:p>
      <w:pPr>
        <w:pStyle w:val="17"/>
        <w:rPr>
          <w:color w:val="auto"/>
          <w:highlight w:val="none"/>
        </w:rPr>
      </w:pPr>
    </w:p>
    <w:p>
      <w:pPr>
        <w:pStyle w:val="4"/>
        <w:snapToGrid w:val="0"/>
        <w:spacing w:before="0" w:after="0" w:line="360" w:lineRule="auto"/>
        <w:rPr>
          <w:rFonts w:ascii="宋体" w:hAnsi="宋体" w:eastAsia="宋体" w:cs="宋体"/>
          <w:bCs w:val="0"/>
          <w:color w:val="auto"/>
          <w:sz w:val="21"/>
          <w:szCs w:val="21"/>
          <w:highlight w:val="none"/>
        </w:rPr>
      </w:pPr>
      <w:bookmarkStart w:id="31" w:name="_Toc35393796"/>
      <w:bookmarkStart w:id="32" w:name="_Toc35393627"/>
      <w:bookmarkStart w:id="33" w:name="_Toc28359085"/>
      <w:bookmarkStart w:id="34" w:name="_Toc29758"/>
      <w:bookmarkStart w:id="35" w:name="_Toc28359008"/>
      <w:r>
        <w:rPr>
          <w:rFonts w:hint="eastAsia" w:ascii="宋体" w:hAnsi="宋体" w:eastAsia="宋体" w:cs="宋体"/>
          <w:bCs w:val="0"/>
          <w:color w:val="auto"/>
          <w:sz w:val="21"/>
          <w:szCs w:val="21"/>
          <w:highlight w:val="none"/>
        </w:rPr>
        <w:t>七、对本次招标提出询问，请按以下方式联系。</w:t>
      </w:r>
      <w:bookmarkEnd w:id="31"/>
      <w:bookmarkEnd w:id="32"/>
      <w:bookmarkEnd w:id="33"/>
      <w:bookmarkEnd w:id="34"/>
      <w:bookmarkEnd w:id="35"/>
    </w:p>
    <w:p>
      <w:pPr>
        <w:widowControl/>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1、采购人信息</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名称：中华人民共和国南海出入境边防检查站</w:t>
      </w:r>
    </w:p>
    <w:p>
      <w:pPr>
        <w:snapToGrid w:val="0"/>
        <w:spacing w:line="360" w:lineRule="auto"/>
        <w:ind w:left="1039" w:leftChars="199" w:hanging="621" w:hangingChars="296"/>
        <w:jc w:val="left"/>
        <w:rPr>
          <w:rFonts w:ascii="宋体" w:hAnsi="宋体" w:cs="宋体"/>
          <w:color w:val="auto"/>
          <w:szCs w:val="21"/>
          <w:highlight w:val="none"/>
        </w:rPr>
      </w:pPr>
      <w:r>
        <w:rPr>
          <w:rFonts w:hint="eastAsia" w:ascii="宋体" w:hAnsi="宋体" w:cs="宋体"/>
          <w:color w:val="auto"/>
          <w:szCs w:val="21"/>
          <w:highlight w:val="none"/>
        </w:rPr>
        <w:t>地址：广东省佛山市南海区南新一路</w:t>
      </w:r>
    </w:p>
    <w:p>
      <w:pPr>
        <w:snapToGrid w:val="0"/>
        <w:spacing w:line="360" w:lineRule="auto"/>
        <w:ind w:left="1039" w:leftChars="199" w:hanging="621" w:hangingChars="296"/>
        <w:jc w:val="left"/>
        <w:rPr>
          <w:rFonts w:ascii="宋体" w:hAnsi="宋体" w:cs="宋体"/>
          <w:color w:val="auto"/>
          <w:szCs w:val="21"/>
          <w:highlight w:val="none"/>
          <w:u w:val="single"/>
        </w:rPr>
      </w:pPr>
      <w:r>
        <w:rPr>
          <w:rFonts w:hint="eastAsia" w:ascii="宋体" w:hAnsi="宋体" w:cs="宋体"/>
          <w:color w:val="auto"/>
          <w:szCs w:val="21"/>
          <w:highlight w:val="none"/>
        </w:rPr>
        <w:t>联系方式：</w:t>
      </w:r>
      <w:bookmarkStart w:id="36" w:name="_Toc28359009"/>
      <w:bookmarkStart w:id="37" w:name="_Toc28359086"/>
      <w:r>
        <w:rPr>
          <w:rFonts w:hint="eastAsia" w:ascii="宋体" w:hAnsi="宋体" w:cs="宋体"/>
          <w:color w:val="auto"/>
          <w:szCs w:val="21"/>
          <w:highlight w:val="none"/>
        </w:rPr>
        <w:t>0757-86322998</w:t>
      </w:r>
    </w:p>
    <w:p>
      <w:pPr>
        <w:snapToGrid w:val="0"/>
        <w:spacing w:line="360" w:lineRule="auto"/>
        <w:ind w:left="264" w:hanging="264" w:hangingChars="125"/>
        <w:jc w:val="left"/>
        <w:rPr>
          <w:rFonts w:ascii="宋体" w:hAnsi="宋体" w:cs="宋体"/>
          <w:b/>
          <w:bCs/>
          <w:color w:val="auto"/>
          <w:szCs w:val="21"/>
          <w:highlight w:val="none"/>
        </w:rPr>
      </w:pPr>
      <w:r>
        <w:rPr>
          <w:rFonts w:hint="eastAsia" w:ascii="宋体" w:hAnsi="宋体" w:cs="宋体"/>
          <w:b/>
          <w:bCs/>
          <w:color w:val="auto"/>
          <w:szCs w:val="21"/>
          <w:highlight w:val="none"/>
        </w:rPr>
        <w:t>2、采购代理机构信息</w:t>
      </w:r>
      <w:bookmarkEnd w:id="36"/>
      <w:bookmarkEnd w:id="37"/>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名称：中达安股份有限公司</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地址：佛山市季华五路金源街8号国贸大厦8楼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bookmarkStart w:id="38" w:name="_Toc28359087"/>
      <w:bookmarkStart w:id="39" w:name="_Toc28359010"/>
      <w:r>
        <w:rPr>
          <w:rFonts w:hint="eastAsia" w:ascii="宋体" w:hAnsi="宋体" w:cs="宋体"/>
          <w:color w:val="auto"/>
          <w:szCs w:val="21"/>
          <w:highlight w:val="none"/>
        </w:rPr>
        <w:t>0757-83389005</w:t>
      </w:r>
    </w:p>
    <w:p>
      <w:pPr>
        <w:snapToGrid w:val="0"/>
        <w:spacing w:line="360" w:lineRule="auto"/>
        <w:rPr>
          <w:rFonts w:ascii="宋体" w:hAnsi="宋体" w:cs="宋体"/>
          <w:b/>
          <w:bCs/>
          <w:color w:val="auto"/>
          <w:szCs w:val="21"/>
          <w:highlight w:val="none"/>
          <w:u w:val="single"/>
        </w:rPr>
      </w:pPr>
      <w:r>
        <w:rPr>
          <w:rFonts w:hint="eastAsia" w:ascii="宋体" w:hAnsi="宋体" w:cs="宋体"/>
          <w:b/>
          <w:bCs/>
          <w:color w:val="auto"/>
          <w:szCs w:val="21"/>
          <w:highlight w:val="none"/>
        </w:rPr>
        <w:t>3、项目联系方式</w:t>
      </w:r>
      <w:bookmarkEnd w:id="38"/>
      <w:bookmarkEnd w:id="39"/>
    </w:p>
    <w:p>
      <w:pPr>
        <w:pStyle w:val="2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项目联系人：洪小姐、杨小姐</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电话：0757-83389005</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邮箱：zdafszb@163.com</w:t>
      </w:r>
    </w:p>
    <w:p>
      <w:pPr>
        <w:adjustRightInd w:val="0"/>
        <w:snapToGrid w:val="0"/>
        <w:spacing w:line="360" w:lineRule="auto"/>
        <w:ind w:firstLine="420" w:firstLineChars="200"/>
        <w:rPr>
          <w:rFonts w:ascii="宋体" w:hAnsi="宋体" w:cs="宋体"/>
          <w:color w:val="auto"/>
          <w:szCs w:val="21"/>
          <w:highlight w:val="none"/>
        </w:rPr>
      </w:pPr>
      <w:bookmarkStart w:id="40" w:name="_Toc435514843"/>
      <w:bookmarkStart w:id="41" w:name="_Toc435115052"/>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附件：招标文件</w:t>
      </w:r>
    </w:p>
    <w:p>
      <w:pPr>
        <w:tabs>
          <w:tab w:val="right" w:pos="9180"/>
        </w:tabs>
        <w:adjustRightInd w:val="0"/>
        <w:snapToGrid w:val="0"/>
        <w:spacing w:beforeLines="50" w:afterLines="50" w:line="360" w:lineRule="auto"/>
        <w:ind w:firstLine="435"/>
        <w:jc w:val="right"/>
        <w:rPr>
          <w:rFonts w:ascii="宋体" w:hAnsi="宋体" w:cs="宋体"/>
          <w:b/>
          <w:color w:val="auto"/>
          <w:szCs w:val="21"/>
          <w:highlight w:val="none"/>
        </w:rPr>
      </w:pPr>
      <w:r>
        <w:rPr>
          <w:rFonts w:hint="eastAsia" w:ascii="宋体" w:hAnsi="宋体" w:cs="宋体"/>
          <w:b/>
          <w:color w:val="auto"/>
          <w:szCs w:val="21"/>
          <w:highlight w:val="none"/>
        </w:rPr>
        <w:t>发布人：中达安股份有限公司</w:t>
      </w:r>
    </w:p>
    <w:p>
      <w:pPr>
        <w:adjustRightInd w:val="0"/>
        <w:snapToGrid w:val="0"/>
        <w:spacing w:beforeLines="50" w:afterLines="50" w:line="360" w:lineRule="auto"/>
        <w:ind w:firstLine="435"/>
        <w:jc w:val="right"/>
        <w:rPr>
          <w:rFonts w:ascii="宋体" w:hAnsi="宋体" w:cs="宋体"/>
          <w:b/>
          <w:color w:val="auto"/>
          <w:szCs w:val="21"/>
          <w:highlight w:val="none"/>
        </w:rPr>
      </w:pPr>
      <w:r>
        <w:rPr>
          <w:rFonts w:hint="eastAsia" w:ascii="宋体" w:hAnsi="宋体" w:cs="宋体"/>
          <w:b/>
          <w:color w:val="auto"/>
          <w:szCs w:val="21"/>
          <w:highlight w:val="none"/>
        </w:rPr>
        <w:t>发布时间：2021年</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15</w:t>
      </w:r>
      <w:bookmarkStart w:id="444" w:name="_GoBack"/>
      <w:bookmarkEnd w:id="444"/>
      <w:r>
        <w:rPr>
          <w:rFonts w:hint="eastAsia" w:ascii="宋体" w:hAnsi="宋体" w:cs="宋体"/>
          <w:b/>
          <w:color w:val="auto"/>
          <w:szCs w:val="21"/>
          <w:highlight w:val="none"/>
        </w:rPr>
        <w:t>日</w:t>
      </w:r>
    </w:p>
    <w:p>
      <w:pPr>
        <w:spacing w:beforeLines="50" w:afterLines="50" w:line="360" w:lineRule="auto"/>
        <w:jc w:val="center"/>
        <w:outlineLvl w:val="0"/>
        <w:rPr>
          <w:rFonts w:ascii="宋体" w:hAnsi="宋体" w:cs="宋体"/>
          <w:b/>
          <w:bCs/>
          <w:color w:val="auto"/>
          <w:sz w:val="28"/>
          <w:szCs w:val="28"/>
          <w:highlight w:val="none"/>
        </w:rPr>
        <w:sectPr>
          <w:pgSz w:w="11906" w:h="16838"/>
          <w:pgMar w:top="1440" w:right="1440" w:bottom="1440" w:left="1440" w:header="851" w:footer="992" w:gutter="0"/>
          <w:pgNumType w:fmt="decimal"/>
          <w:cols w:space="720" w:num="1"/>
          <w:docGrid w:type="lines" w:linePitch="312" w:charSpace="0"/>
        </w:sectPr>
      </w:pPr>
    </w:p>
    <w:p>
      <w:pPr>
        <w:spacing w:beforeLines="50" w:afterLines="50" w:line="360" w:lineRule="auto"/>
        <w:jc w:val="center"/>
        <w:outlineLvl w:val="0"/>
        <w:rPr>
          <w:rFonts w:ascii="黑体" w:hAnsi="黑体" w:eastAsia="黑体" w:cs="黑体"/>
          <w:b/>
          <w:bCs/>
          <w:color w:val="auto"/>
          <w:sz w:val="32"/>
          <w:szCs w:val="32"/>
          <w:highlight w:val="none"/>
        </w:rPr>
      </w:pPr>
      <w:bookmarkStart w:id="42" w:name="_Toc24785"/>
      <w:bookmarkStart w:id="43" w:name="_Toc520811880"/>
      <w:r>
        <w:rPr>
          <w:rFonts w:hint="eastAsia" w:ascii="黑体" w:hAnsi="黑体" w:eastAsia="黑体" w:cs="黑体"/>
          <w:b/>
          <w:bCs/>
          <w:color w:val="auto"/>
          <w:sz w:val="32"/>
          <w:szCs w:val="32"/>
          <w:highlight w:val="none"/>
        </w:rPr>
        <w:t>第二章 投标资料表</w:t>
      </w:r>
      <w:bookmarkEnd w:id="40"/>
      <w:bookmarkEnd w:id="41"/>
      <w:bookmarkEnd w:id="42"/>
      <w:bookmarkEnd w:id="43"/>
    </w:p>
    <w:p>
      <w:pPr>
        <w:spacing w:line="360" w:lineRule="auto"/>
        <w:ind w:right="-174" w:rightChars="-83" w:firstLine="424" w:firstLineChars="202"/>
        <w:rPr>
          <w:rFonts w:ascii="宋体" w:hAnsi="宋体" w:cs="宋体"/>
          <w:color w:val="auto"/>
          <w:highlight w:val="none"/>
        </w:rPr>
      </w:pPr>
      <w:r>
        <w:rPr>
          <w:rFonts w:hint="eastAsia" w:ascii="宋体" w:hAnsi="宋体" w:cs="宋体"/>
          <w:color w:val="auto"/>
          <w:highlight w:val="none"/>
        </w:rPr>
        <w:t>说明：该资料表的条款项号是与《投标人须知》条款项号对应的条款，是对《投标人须知》补充、修改和完善，如果有矛盾的话，应以本资料表为准。</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8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条款项号</w:t>
            </w:r>
          </w:p>
        </w:tc>
        <w:tc>
          <w:tcPr>
            <w:tcW w:w="4371" w:type="pct"/>
            <w:vAlign w:val="center"/>
          </w:tcPr>
          <w:p>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000" w:type="pct"/>
            <w:gridSpan w:val="2"/>
            <w:vAlign w:val="center"/>
          </w:tcPr>
          <w:p>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一、说明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4371" w:type="pct"/>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采购人名称：中华人民共和国南海出入境边防检查站</w:t>
            </w:r>
          </w:p>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资金来源：财政性资金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5000" w:type="pct"/>
            <w:gridSpan w:val="2"/>
            <w:vAlign w:val="center"/>
          </w:tcPr>
          <w:p>
            <w:pPr>
              <w:spacing w:line="300" w:lineRule="auto"/>
              <w:jc w:val="center"/>
              <w:rPr>
                <w:rFonts w:ascii="宋体" w:hAnsi="宋体" w:cs="宋体"/>
                <w:color w:val="auto"/>
                <w:szCs w:val="21"/>
                <w:highlight w:val="none"/>
              </w:rPr>
            </w:pPr>
            <w:r>
              <w:rPr>
                <w:rFonts w:hint="eastAsia" w:ascii="宋体" w:hAnsi="宋体" w:cs="宋体"/>
                <w:b/>
                <w:color w:val="auto"/>
                <w:szCs w:val="21"/>
                <w:highlight w:val="none"/>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8.1</w:t>
            </w:r>
          </w:p>
        </w:tc>
        <w:tc>
          <w:tcPr>
            <w:tcW w:w="4371" w:type="pct"/>
            <w:vAlign w:val="center"/>
          </w:tcPr>
          <w:p>
            <w:pPr>
              <w:pStyle w:val="17"/>
              <w:spacing w:after="0" w:line="300" w:lineRule="auto"/>
              <w:rPr>
                <w:rFonts w:ascii="宋体" w:hAnsi="宋体" w:cs="宋体"/>
                <w:color w:val="auto"/>
                <w:sz w:val="21"/>
                <w:szCs w:val="21"/>
                <w:highlight w:val="none"/>
              </w:rPr>
            </w:pPr>
            <w:r>
              <w:rPr>
                <w:rFonts w:hint="eastAsia" w:ascii="宋体" w:hAnsi="宋体" w:cs="宋体"/>
                <w:bCs/>
                <w:color w:val="auto"/>
                <w:sz w:val="21"/>
                <w:szCs w:val="21"/>
                <w:highlight w:val="none"/>
              </w:rPr>
              <w:t>本次招标不举行现场投标答疑会。投标人要求澄清招标文件时，应在报名截止时间次日起1天内通过电子邮件(发邮件至zdafszb@163.com)的方式向招标代理机构提出。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000" w:type="pct"/>
            <w:gridSpan w:val="2"/>
            <w:vAlign w:val="center"/>
          </w:tcPr>
          <w:p>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12.1&amp;12.2</w:t>
            </w:r>
          </w:p>
        </w:tc>
        <w:tc>
          <w:tcPr>
            <w:tcW w:w="4371" w:type="pct"/>
            <w:vAlign w:val="center"/>
          </w:tcPr>
          <w:p>
            <w:pPr>
              <w:adjustRightInd w:val="0"/>
              <w:snapToGrid w:val="0"/>
              <w:spacing w:line="300" w:lineRule="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1、本项目采用固定月度服务费包干方式，月度物业管理服务费最高限价为139982.96元；投标人报价超过最高限价的，将作否决投标处理。</w:t>
            </w:r>
          </w:p>
          <w:p>
            <w:pPr>
              <w:adjustRightInd w:val="0"/>
              <w:snapToGrid w:val="0"/>
              <w:spacing w:line="300"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2、投标人所报物业管理服务费包含内容见用户需求书的报价要求条款</w:t>
            </w:r>
            <w:r>
              <w:rPr>
                <w:rFonts w:hint="eastAsia"/>
                <w:color w:val="auto"/>
                <w:highlight w:val="none"/>
                <w:lang w:eastAsia="zh-CN"/>
              </w:rPr>
              <w:t>。如出现任何遗漏内容需产生额外费用，均由中标人自行承担，采购人将不再另支付任何费用。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8" w:type="pct"/>
            <w:vAlign w:val="center"/>
          </w:tcPr>
          <w:p>
            <w:pPr>
              <w:adjustRightInd w:val="0"/>
              <w:snapToGrid w:val="0"/>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4</w:t>
            </w:r>
          </w:p>
        </w:tc>
        <w:tc>
          <w:tcPr>
            <w:tcW w:w="4371" w:type="pct"/>
            <w:vAlign w:val="center"/>
          </w:tcPr>
          <w:p>
            <w:pPr>
              <w:adjustRightInd w:val="0"/>
              <w:snapToGrid w:val="0"/>
              <w:spacing w:line="300" w:lineRule="auto"/>
              <w:jc w:val="left"/>
              <w:rPr>
                <w:rFonts w:ascii="宋体" w:hAnsi="宋体" w:cs="宋体"/>
                <w:color w:val="auto"/>
                <w:szCs w:val="21"/>
                <w:highlight w:val="none"/>
              </w:rPr>
            </w:pPr>
            <w:r>
              <w:rPr>
                <w:rFonts w:hint="eastAsia" w:ascii="宋体" w:hAnsi="宋体" w:cs="宋体"/>
                <w:color w:val="auto"/>
                <w:szCs w:val="21"/>
                <w:highlight w:val="none"/>
              </w:rPr>
              <w:t>投标人所报的投标价是固定不变的。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28" w:type="pct"/>
            <w:vAlign w:val="center"/>
          </w:tcPr>
          <w:p>
            <w:pPr>
              <w:adjustRightInd w:val="0"/>
              <w:snapToGrid w:val="0"/>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5</w:t>
            </w:r>
          </w:p>
        </w:tc>
        <w:tc>
          <w:tcPr>
            <w:tcW w:w="4371" w:type="pct"/>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本次招标不允许有备选方案，每项报价或每种规格货物或每项服务只允许有一个报价，否则将被视为无效投标。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8" w:type="pct"/>
            <w:vAlign w:val="center"/>
          </w:tcPr>
          <w:p>
            <w:pPr>
              <w:adjustRightInd w:val="0"/>
              <w:snapToGrid w:val="0"/>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6</w:t>
            </w:r>
          </w:p>
        </w:tc>
        <w:tc>
          <w:tcPr>
            <w:tcW w:w="4371" w:type="pct"/>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不允许附加条件报价，否则将被视为无效投标。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4371" w:type="pct"/>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投标货币:人民币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16.4</w:t>
            </w:r>
          </w:p>
        </w:tc>
        <w:tc>
          <w:tcPr>
            <w:tcW w:w="4371" w:type="pct"/>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投标人对加注星号（“★”）的实质性条款</w:t>
            </w:r>
            <w:r>
              <w:rPr>
                <w:rFonts w:hint="eastAsia" w:ascii="宋体" w:hAnsi="宋体" w:cs="宋体"/>
                <w:b/>
                <w:bCs/>
                <w:color w:val="auto"/>
                <w:szCs w:val="21"/>
                <w:highlight w:val="none"/>
              </w:rPr>
              <w:t>提供的证明资料</w:t>
            </w:r>
            <w:r>
              <w:rPr>
                <w:rFonts w:hint="eastAsia" w:ascii="宋体" w:hAnsi="宋体" w:cs="宋体"/>
                <w:color w:val="auto"/>
                <w:szCs w:val="21"/>
                <w:highlight w:val="none"/>
              </w:rPr>
              <w:t>以招标文件用户需求书规定的为准。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4371" w:type="pct"/>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本项目不允许分包。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6"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18.1</w:t>
            </w:r>
          </w:p>
        </w:tc>
        <w:tc>
          <w:tcPr>
            <w:tcW w:w="4371" w:type="pct"/>
            <w:vAlign w:val="center"/>
          </w:tcPr>
          <w:p>
            <w:pPr>
              <w:numPr>
                <w:ilvl w:val="0"/>
                <w:numId w:val="4"/>
              </w:numPr>
              <w:adjustRightInd w:val="0"/>
              <w:snapToGrid w:val="0"/>
              <w:spacing w:line="300" w:lineRule="auto"/>
              <w:rPr>
                <w:rFonts w:ascii="宋体" w:hAnsi="宋体" w:cs="宋体"/>
                <w:bCs/>
                <w:color w:val="auto"/>
                <w:szCs w:val="21"/>
                <w:highlight w:val="none"/>
              </w:rPr>
            </w:pPr>
            <w:r>
              <w:rPr>
                <w:rFonts w:hint="eastAsia" w:ascii="宋体" w:hAnsi="宋体" w:cs="宋体"/>
                <w:b/>
                <w:bCs/>
                <w:color w:val="auto"/>
                <w:szCs w:val="21"/>
                <w:highlight w:val="none"/>
              </w:rPr>
              <w:t>投标保证金金额：</w:t>
            </w:r>
            <w:r>
              <w:rPr>
                <w:rFonts w:hint="eastAsia" w:ascii="宋体" w:hAnsi="宋体" w:cs="宋体"/>
                <w:b/>
                <w:bCs/>
                <w:color w:val="auto"/>
                <w:szCs w:val="21"/>
                <w:highlight w:val="none"/>
                <w:lang w:val="en-US" w:eastAsia="zh-CN"/>
              </w:rPr>
              <w:t>40000元</w:t>
            </w:r>
          </w:p>
          <w:p>
            <w:pPr>
              <w:numPr>
                <w:ilvl w:val="0"/>
                <w:numId w:val="4"/>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缴纳形式：非现金形式</w:t>
            </w:r>
          </w:p>
          <w:p>
            <w:pPr>
              <w:adjustRightInd w:val="0"/>
              <w:snapToGrid w:val="0"/>
              <w:spacing w:line="300" w:lineRule="auto"/>
              <w:ind w:left="420"/>
              <w:rPr>
                <w:rFonts w:ascii="宋体" w:hAnsi="宋体" w:cs="宋体"/>
                <w:bCs/>
                <w:color w:val="auto"/>
                <w:szCs w:val="21"/>
                <w:highlight w:val="none"/>
              </w:rPr>
            </w:pPr>
            <w:r>
              <w:rPr>
                <w:rFonts w:hint="eastAsia" w:ascii="宋体" w:hAnsi="宋体" w:cs="宋体"/>
                <w:bCs/>
                <w:color w:val="auto"/>
                <w:szCs w:val="21"/>
                <w:highlight w:val="none"/>
              </w:rPr>
              <w:t>注：①</w:t>
            </w:r>
            <w:r>
              <w:rPr>
                <w:rFonts w:hint="eastAsia" w:ascii="宋体" w:hAnsi="宋体" w:cs="宋体"/>
                <w:b/>
                <w:color w:val="auto"/>
                <w:szCs w:val="21"/>
                <w:highlight w:val="none"/>
              </w:rPr>
              <w:t>投标保证金必须以投标人名义提交；</w:t>
            </w:r>
          </w:p>
          <w:p>
            <w:pPr>
              <w:adjustRightInd w:val="0"/>
              <w:snapToGrid w:val="0"/>
              <w:spacing w:line="300" w:lineRule="auto"/>
              <w:ind w:left="420"/>
              <w:rPr>
                <w:rFonts w:ascii="宋体" w:hAnsi="宋体" w:cs="宋体"/>
                <w:bCs/>
                <w:color w:val="auto"/>
                <w:szCs w:val="21"/>
                <w:highlight w:val="none"/>
              </w:rPr>
            </w:pPr>
            <w:r>
              <w:rPr>
                <w:rFonts w:hint="eastAsia" w:ascii="宋体" w:hAnsi="宋体" w:cs="宋体"/>
                <w:bCs/>
                <w:color w:val="auto"/>
                <w:szCs w:val="21"/>
                <w:highlight w:val="none"/>
              </w:rPr>
              <w:t>②采用保函或担保等形式：银行保函应注明是银行保函，或是专业担保公司提供担保的银行保函；若银行有规定格式的可使用银行格式，但必须满足招标文件载明的投标保证金要求。</w:t>
            </w:r>
          </w:p>
          <w:p>
            <w:pPr>
              <w:adjustRightInd w:val="0"/>
              <w:snapToGrid w:val="0"/>
              <w:spacing w:line="300" w:lineRule="auto"/>
              <w:ind w:left="420"/>
              <w:rPr>
                <w:rFonts w:ascii="宋体" w:hAnsi="宋体" w:cs="宋体"/>
                <w:bCs/>
                <w:color w:val="auto"/>
                <w:szCs w:val="21"/>
                <w:highlight w:val="none"/>
              </w:rPr>
            </w:pPr>
            <w:r>
              <w:rPr>
                <w:rFonts w:hint="eastAsia" w:ascii="宋体" w:hAnsi="宋体" w:cs="宋体"/>
                <w:bCs/>
                <w:color w:val="auto"/>
                <w:szCs w:val="21"/>
                <w:highlight w:val="none"/>
              </w:rPr>
              <w:t>③采用电汇、转账形式，收款单位的银行相关信息如下：</w:t>
            </w:r>
          </w:p>
          <w:p>
            <w:pPr>
              <w:adjustRightInd w:val="0"/>
              <w:snapToGrid w:val="0"/>
              <w:spacing w:line="300" w:lineRule="auto"/>
              <w:ind w:left="420"/>
              <w:rPr>
                <w:rFonts w:ascii="宋体" w:hAnsi="宋体" w:cs="宋体"/>
                <w:color w:val="auto"/>
                <w:szCs w:val="21"/>
                <w:highlight w:val="none"/>
              </w:rPr>
            </w:pPr>
            <w:r>
              <w:rPr>
                <w:rFonts w:hint="eastAsia" w:ascii="宋体" w:hAnsi="宋体" w:cs="宋体"/>
                <w:color w:val="auto"/>
                <w:szCs w:val="21"/>
                <w:highlight w:val="none"/>
              </w:rPr>
              <w:t>收款单位名称：中达安股份有限公司</w:t>
            </w:r>
          </w:p>
          <w:p>
            <w:pPr>
              <w:adjustRightInd w:val="0"/>
              <w:snapToGrid w:val="0"/>
              <w:spacing w:line="300" w:lineRule="auto"/>
              <w:ind w:left="420"/>
              <w:rPr>
                <w:rFonts w:ascii="宋体" w:hAnsi="宋体" w:cs="宋体"/>
                <w:color w:val="auto"/>
                <w:szCs w:val="21"/>
                <w:highlight w:val="none"/>
              </w:rPr>
            </w:pPr>
            <w:r>
              <w:rPr>
                <w:rFonts w:hint="eastAsia" w:ascii="宋体" w:hAnsi="宋体" w:cs="宋体"/>
                <w:color w:val="auto"/>
                <w:szCs w:val="21"/>
                <w:highlight w:val="none"/>
              </w:rPr>
              <w:t>账号：2000006816654</w:t>
            </w:r>
          </w:p>
          <w:p>
            <w:pPr>
              <w:adjustRightInd w:val="0"/>
              <w:snapToGrid w:val="0"/>
              <w:spacing w:line="300" w:lineRule="auto"/>
              <w:ind w:left="420"/>
              <w:rPr>
                <w:rFonts w:ascii="宋体" w:hAnsi="宋体" w:cs="宋体"/>
                <w:color w:val="auto"/>
                <w:szCs w:val="21"/>
                <w:highlight w:val="none"/>
              </w:rPr>
            </w:pPr>
            <w:r>
              <w:rPr>
                <w:rFonts w:hint="eastAsia" w:ascii="宋体" w:hAnsi="宋体" w:cs="宋体"/>
                <w:color w:val="auto"/>
                <w:szCs w:val="21"/>
                <w:highlight w:val="none"/>
              </w:rPr>
              <w:t>开户银行：平安银行股份有限公司广州中石化大厦支行</w:t>
            </w:r>
          </w:p>
          <w:p>
            <w:pPr>
              <w:adjustRightInd w:val="0"/>
              <w:snapToGrid w:val="0"/>
              <w:spacing w:line="300" w:lineRule="auto"/>
              <w:ind w:left="420"/>
              <w:rPr>
                <w:rFonts w:ascii="宋体" w:hAnsi="宋体" w:cs="宋体"/>
                <w:color w:val="auto"/>
                <w:szCs w:val="21"/>
                <w:highlight w:val="none"/>
              </w:rPr>
            </w:pPr>
            <w:r>
              <w:rPr>
                <w:rFonts w:hint="eastAsia" w:ascii="宋体" w:hAnsi="宋体" w:cs="宋体"/>
                <w:color w:val="auto"/>
                <w:szCs w:val="21"/>
                <w:highlight w:val="none"/>
              </w:rPr>
              <w:t>开户行行号（开户行代码）：307581028011</w:t>
            </w:r>
          </w:p>
          <w:p>
            <w:pPr>
              <w:adjustRightInd w:val="0"/>
              <w:snapToGrid w:val="0"/>
              <w:spacing w:line="300" w:lineRule="auto"/>
              <w:ind w:left="420"/>
              <w:rPr>
                <w:rFonts w:ascii="宋体" w:hAnsi="宋体" w:cs="宋体"/>
                <w:bCs/>
                <w:color w:val="auto"/>
                <w:szCs w:val="21"/>
                <w:highlight w:val="none"/>
              </w:rPr>
            </w:pPr>
            <w:r>
              <w:rPr>
                <w:rFonts w:hint="eastAsia" w:ascii="宋体" w:hAnsi="宋体" w:cs="宋体"/>
                <w:bCs/>
                <w:color w:val="auto"/>
                <w:szCs w:val="21"/>
                <w:highlight w:val="none"/>
              </w:rPr>
              <w:t>注：投标人请在缴款凭证"备注"栏写明</w:t>
            </w:r>
            <w:r>
              <w:rPr>
                <w:rFonts w:hint="eastAsia" w:ascii="宋体" w:hAnsi="宋体" w:cs="宋体"/>
                <w:bCs/>
                <w:color w:val="auto"/>
                <w:szCs w:val="21"/>
                <w:highlight w:val="none"/>
                <w:u w:val="single"/>
              </w:rPr>
              <w:t>（项目编号）</w:t>
            </w:r>
            <w:r>
              <w:rPr>
                <w:rFonts w:hint="eastAsia" w:ascii="宋体" w:hAnsi="宋体" w:cs="宋体"/>
                <w:bCs/>
                <w:color w:val="auto"/>
                <w:szCs w:val="21"/>
                <w:highlight w:val="none"/>
              </w:rPr>
              <w:t>，以便查询。</w:t>
            </w:r>
          </w:p>
          <w:p>
            <w:pPr>
              <w:numPr>
                <w:ilvl w:val="0"/>
                <w:numId w:val="4"/>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投标保证金提交截止时间：同第一章投标邀请中投标截止时间</w:t>
            </w:r>
          </w:p>
          <w:p>
            <w:pPr>
              <w:numPr>
                <w:ilvl w:val="0"/>
                <w:numId w:val="4"/>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有效期：投标保证金应在投标有效期内有效。</w:t>
            </w:r>
          </w:p>
          <w:p>
            <w:pPr>
              <w:numPr>
                <w:ilvl w:val="0"/>
                <w:numId w:val="4"/>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投标人以保函或担保形式缴纳证金的，请将</w:t>
            </w:r>
            <w:r>
              <w:rPr>
                <w:rFonts w:hint="eastAsia" w:ascii="宋体" w:hAnsi="宋体" w:cs="宋体"/>
                <w:b/>
                <w:bCs/>
                <w:color w:val="auto"/>
                <w:szCs w:val="21"/>
                <w:highlight w:val="none"/>
              </w:rPr>
              <w:t>《政府采购投标担保函》复印件编制进投标文件中，保函原件随投标文件一同递交。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8" w:type="pct"/>
            <w:vAlign w:val="center"/>
          </w:tcPr>
          <w:p>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4371" w:type="pct"/>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投标有效期：90日（从投标截止之日计起）。投标有效期不足的投标，将被视为无效投标。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4371" w:type="pct"/>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投标文件份数：正本一份，副本四份，若正本与副本有不一致，以正本为准。</w:t>
            </w:r>
          </w:p>
          <w:p>
            <w:pPr>
              <w:spacing w:line="300" w:lineRule="auto"/>
              <w:rPr>
                <w:rFonts w:ascii="宋体" w:hAnsi="宋体" w:cs="宋体"/>
                <w:color w:val="auto"/>
                <w:szCs w:val="21"/>
                <w:highlight w:val="none"/>
              </w:rPr>
            </w:pPr>
            <w:r>
              <w:rPr>
                <w:rFonts w:hint="eastAsia" w:ascii="宋体" w:hAnsi="宋体" w:cs="宋体"/>
                <w:b/>
                <w:bCs/>
                <w:color w:val="auto"/>
                <w:szCs w:val="21"/>
                <w:highlight w:val="none"/>
              </w:rPr>
              <w:t>电子文件一式两份（不可加密）。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23.2.6</w:t>
            </w:r>
          </w:p>
        </w:tc>
        <w:tc>
          <w:tcPr>
            <w:tcW w:w="4371" w:type="pct"/>
            <w:vAlign w:val="center"/>
          </w:tcPr>
          <w:p>
            <w:pPr>
              <w:spacing w:line="300" w:lineRule="auto"/>
              <w:rPr>
                <w:rFonts w:ascii="宋体" w:hAnsi="宋体" w:cs="宋体"/>
                <w:color w:val="auto"/>
                <w:szCs w:val="21"/>
                <w:highlight w:val="none"/>
              </w:rPr>
            </w:pPr>
            <w:r>
              <w:rPr>
                <w:rFonts w:hint="eastAsia" w:ascii="宋体" w:hAnsi="宋体" w:cs="宋体"/>
                <w:color w:val="auto"/>
                <w:szCs w:val="21"/>
                <w:highlight w:val="none"/>
              </w:rPr>
              <w:t>质疑受理联系方式</w:t>
            </w:r>
          </w:p>
          <w:p>
            <w:pPr>
              <w:spacing w:line="300" w:lineRule="auto"/>
              <w:rPr>
                <w:rFonts w:ascii="宋体" w:hAnsi="宋体" w:cs="宋体"/>
                <w:color w:val="auto"/>
                <w:szCs w:val="21"/>
                <w:highlight w:val="none"/>
              </w:rPr>
            </w:pPr>
            <w:r>
              <w:rPr>
                <w:rFonts w:hint="eastAsia" w:ascii="宋体" w:hAnsi="宋体" w:cs="宋体"/>
                <w:color w:val="auto"/>
                <w:szCs w:val="21"/>
                <w:highlight w:val="none"/>
              </w:rPr>
              <w:t>机构名称：中达安股份有限公司</w:t>
            </w:r>
          </w:p>
          <w:p>
            <w:pPr>
              <w:spacing w:line="300" w:lineRule="auto"/>
              <w:rPr>
                <w:rFonts w:ascii="宋体" w:hAnsi="宋体" w:cs="宋体"/>
                <w:color w:val="auto"/>
                <w:szCs w:val="21"/>
                <w:highlight w:val="none"/>
              </w:rPr>
            </w:pPr>
            <w:r>
              <w:rPr>
                <w:rFonts w:hint="eastAsia" w:ascii="宋体" w:hAnsi="宋体" w:cs="宋体"/>
                <w:color w:val="auto"/>
                <w:szCs w:val="21"/>
                <w:highlight w:val="none"/>
              </w:rPr>
              <w:t>联系人：洪小姐</w:t>
            </w:r>
          </w:p>
          <w:p>
            <w:pPr>
              <w:spacing w:line="300" w:lineRule="auto"/>
              <w:rPr>
                <w:rFonts w:ascii="宋体" w:hAnsi="宋体" w:cs="宋体"/>
                <w:color w:val="auto"/>
                <w:szCs w:val="21"/>
                <w:highlight w:val="none"/>
              </w:rPr>
            </w:pPr>
            <w:r>
              <w:rPr>
                <w:rFonts w:hint="eastAsia" w:ascii="宋体" w:hAnsi="宋体" w:cs="宋体"/>
                <w:color w:val="auto"/>
                <w:szCs w:val="21"/>
                <w:highlight w:val="none"/>
              </w:rPr>
              <w:t>联系电话:0757-83389005</w:t>
            </w:r>
            <w:r>
              <w:rPr>
                <w:rFonts w:hint="eastAsia" w:ascii="宋体" w:hAnsi="宋体" w:cs="宋体"/>
                <w:bCs/>
                <w:color w:val="auto"/>
                <w:szCs w:val="21"/>
                <w:highlight w:val="none"/>
              </w:rPr>
              <w:t>（</w:t>
            </w:r>
            <w:r>
              <w:rPr>
                <w:rFonts w:hint="eastAsia" w:ascii="宋体" w:hAnsi="宋体" w:cs="宋体"/>
                <w:color w:val="auto"/>
                <w:szCs w:val="21"/>
                <w:highlight w:val="none"/>
              </w:rPr>
              <w:t>上午09:00至12:00,下午14:00至17:00，法定节假日除外</w:t>
            </w:r>
            <w:r>
              <w:rPr>
                <w:rFonts w:hint="eastAsia" w:ascii="宋体" w:hAnsi="宋体" w:cs="宋体"/>
                <w:bCs/>
                <w:color w:val="auto"/>
                <w:szCs w:val="21"/>
                <w:highlight w:val="none"/>
              </w:rPr>
              <w:t>）</w:t>
            </w:r>
          </w:p>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联系地址：佛山市季华五路金源街8号国贸大厦8楼中达安股份有限公司</w:t>
            </w:r>
          </w:p>
          <w:p>
            <w:pPr>
              <w:spacing w:line="300" w:lineRule="auto"/>
              <w:rPr>
                <w:rFonts w:ascii="宋体" w:hAnsi="宋体" w:cs="宋体"/>
                <w:color w:val="auto"/>
                <w:szCs w:val="21"/>
                <w:highlight w:val="none"/>
              </w:rPr>
            </w:pPr>
            <w:r>
              <w:rPr>
                <w:rFonts w:hint="eastAsia" w:ascii="宋体" w:hAnsi="宋体" w:cs="宋体"/>
                <w:color w:val="auto"/>
                <w:szCs w:val="21"/>
                <w:highlight w:val="none"/>
              </w:rPr>
              <w:t>邮政编码：528000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2"/>
            <w:vAlign w:val="center"/>
          </w:tcPr>
          <w:p>
            <w:pPr>
              <w:spacing w:line="300" w:lineRule="auto"/>
              <w:jc w:val="center"/>
              <w:rPr>
                <w:rFonts w:ascii="宋体" w:hAnsi="宋体" w:cs="宋体"/>
                <w:color w:val="auto"/>
                <w:szCs w:val="21"/>
                <w:highlight w:val="none"/>
              </w:rPr>
            </w:pPr>
            <w:r>
              <w:rPr>
                <w:rFonts w:hint="eastAsia" w:ascii="宋体" w:hAnsi="宋体" w:cs="宋体"/>
                <w:b/>
                <w:color w:val="auto"/>
                <w:szCs w:val="21"/>
                <w:highlight w:val="none"/>
              </w:rPr>
              <w:t>五、授予合同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25.1</w:t>
            </w:r>
          </w:p>
        </w:tc>
        <w:tc>
          <w:tcPr>
            <w:tcW w:w="4371" w:type="pct"/>
            <w:vAlign w:val="center"/>
          </w:tcPr>
          <w:p>
            <w:pPr>
              <w:adjustRightInd w:val="0"/>
              <w:snapToGrid w:val="0"/>
              <w:spacing w:line="300" w:lineRule="auto"/>
              <w:jc w:val="left"/>
              <w:rPr>
                <w:rFonts w:ascii="宋体" w:hAnsi="宋体" w:cs="宋体"/>
                <w:color w:val="auto"/>
                <w:szCs w:val="21"/>
                <w:highlight w:val="none"/>
              </w:rPr>
            </w:pPr>
            <w:r>
              <w:rPr>
                <w:rFonts w:hint="eastAsia" w:ascii="宋体" w:hAnsi="宋体" w:cs="宋体"/>
                <w:color w:val="auto"/>
                <w:szCs w:val="21"/>
                <w:highlight w:val="none"/>
              </w:rPr>
              <w:t>合同签订时间：自《中标通知书》发出之日起三十日内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27.1</w:t>
            </w:r>
          </w:p>
        </w:tc>
        <w:tc>
          <w:tcPr>
            <w:tcW w:w="4371" w:type="pct"/>
            <w:vAlign w:val="center"/>
          </w:tcPr>
          <w:p>
            <w:pPr>
              <w:numPr>
                <w:ilvl w:val="0"/>
                <w:numId w:val="5"/>
              </w:numPr>
              <w:spacing w:line="300" w:lineRule="auto"/>
              <w:jc w:val="both"/>
              <w:rPr>
                <w:rFonts w:ascii="宋体" w:hAnsi="宋体" w:cs="宋体"/>
                <w:color w:val="auto"/>
                <w:szCs w:val="21"/>
                <w:highlight w:val="none"/>
              </w:rPr>
            </w:pPr>
            <w:r>
              <w:rPr>
                <w:rFonts w:hint="eastAsia" w:ascii="宋体" w:hAnsi="宋体" w:cs="宋体"/>
                <w:color w:val="auto"/>
                <w:szCs w:val="21"/>
                <w:highlight w:val="none"/>
              </w:rPr>
              <w:t>中标人须向采购代理机构按如下标准和规定缴纳采购代理服务费：</w:t>
            </w:r>
          </w:p>
          <w:p>
            <w:pPr>
              <w:spacing w:line="300" w:lineRule="auto"/>
              <w:jc w:val="both"/>
              <w:rPr>
                <w:color w:val="auto"/>
                <w:highlight w:val="none"/>
              </w:rPr>
            </w:pPr>
            <w:r>
              <w:rPr>
                <w:rFonts w:hint="eastAsia" w:ascii="宋体" w:hAnsi="宋体" w:cs="宋体"/>
                <w:color w:val="auto"/>
                <w:szCs w:val="21"/>
                <w:highlight w:val="none"/>
              </w:rPr>
              <w:t>（1）中标服务费按照中标人的</w:t>
            </w:r>
            <w:r>
              <w:rPr>
                <w:rFonts w:hint="eastAsia"/>
                <w:b/>
                <w:bCs/>
                <w:color w:val="auto"/>
                <w:highlight w:val="none"/>
                <w:lang w:val="en-US" w:eastAsia="zh-CN"/>
              </w:rPr>
              <w:t>中标金额（即中标总价=月度物业管理服务费*服务月数）</w:t>
            </w:r>
            <w:r>
              <w:rPr>
                <w:rFonts w:hint="eastAsia" w:ascii="宋体" w:hAnsi="宋体" w:cs="宋体"/>
                <w:color w:val="auto"/>
                <w:szCs w:val="21"/>
                <w:highlight w:val="none"/>
              </w:rPr>
              <w:t>进行计算，招标代理服务费收费采用差额定率累进法计算方式。按《招标代理服务收费管理暂行办法》（计价格[2002]1980号）收费标准、《政府采购代理机构管理暂行办法》（财库〔2018〕2号）规定的“</w:t>
            </w:r>
            <w:r>
              <w:rPr>
                <w:rFonts w:hint="eastAsia" w:ascii="宋体" w:hAnsi="宋体" w:cs="宋体"/>
                <w:color w:val="auto"/>
                <w:szCs w:val="21"/>
                <w:highlight w:val="none"/>
                <w:lang w:val="en-US" w:eastAsia="zh-CN"/>
              </w:rPr>
              <w:t>服务类</w:t>
            </w:r>
            <w:r>
              <w:rPr>
                <w:rFonts w:hint="eastAsia" w:ascii="宋体" w:hAnsi="宋体" w:cs="宋体"/>
                <w:color w:val="auto"/>
                <w:szCs w:val="21"/>
                <w:highlight w:val="none"/>
              </w:rPr>
              <w:t>”计算。</w:t>
            </w:r>
          </w:p>
          <w:p>
            <w:pPr>
              <w:spacing w:line="300" w:lineRule="auto"/>
              <w:jc w:val="both"/>
              <w:rPr>
                <w:rFonts w:ascii="宋体" w:hAnsi="宋体" w:cs="宋体"/>
                <w:color w:val="auto"/>
                <w:szCs w:val="21"/>
                <w:highlight w:val="none"/>
              </w:rPr>
            </w:pPr>
            <w:r>
              <w:rPr>
                <w:rFonts w:hint="eastAsia" w:ascii="宋体" w:hAnsi="宋体" w:cs="宋体"/>
                <w:color w:val="auto"/>
                <w:szCs w:val="21"/>
                <w:highlight w:val="none"/>
              </w:rPr>
              <w:t>（2）采购代理服务费的缴纳形式：</w:t>
            </w:r>
          </w:p>
          <w:p>
            <w:pPr>
              <w:numPr>
                <w:ilvl w:val="2"/>
                <w:numId w:val="6"/>
              </w:numPr>
              <w:tabs>
                <w:tab w:val="left" w:pos="317"/>
                <w:tab w:val="clear" w:pos="1260"/>
              </w:tabs>
              <w:adjustRightInd w:val="0"/>
              <w:snapToGrid w:val="0"/>
              <w:spacing w:line="300" w:lineRule="auto"/>
              <w:ind w:left="317" w:hanging="360"/>
              <w:jc w:val="both"/>
              <w:rPr>
                <w:rFonts w:ascii="宋体" w:hAnsi="宋体" w:cs="宋体"/>
                <w:color w:val="auto"/>
                <w:szCs w:val="21"/>
                <w:highlight w:val="none"/>
              </w:rPr>
            </w:pPr>
            <w:r>
              <w:rPr>
                <w:rFonts w:hint="eastAsia" w:ascii="宋体" w:hAnsi="宋体" w:cs="宋体"/>
                <w:color w:val="auto"/>
                <w:szCs w:val="21"/>
                <w:highlight w:val="none"/>
              </w:rPr>
              <w:t>向采购代理机构直接缴纳采购代理服务费。请用电汇的付款方式；</w:t>
            </w:r>
          </w:p>
          <w:p>
            <w:pPr>
              <w:numPr>
                <w:ilvl w:val="2"/>
                <w:numId w:val="6"/>
              </w:numPr>
              <w:tabs>
                <w:tab w:val="left" w:pos="317"/>
                <w:tab w:val="clear" w:pos="1260"/>
              </w:tabs>
              <w:adjustRightInd w:val="0"/>
              <w:snapToGrid w:val="0"/>
              <w:spacing w:line="300" w:lineRule="auto"/>
              <w:ind w:left="317" w:hanging="360"/>
              <w:jc w:val="both"/>
              <w:rPr>
                <w:rFonts w:ascii="宋体" w:hAnsi="宋体" w:cs="宋体"/>
                <w:color w:val="auto"/>
                <w:szCs w:val="21"/>
                <w:highlight w:val="none"/>
              </w:rPr>
            </w:pPr>
            <w:r>
              <w:rPr>
                <w:rFonts w:hint="eastAsia" w:ascii="宋体" w:hAnsi="宋体" w:cs="宋体"/>
                <w:color w:val="auto"/>
                <w:szCs w:val="21"/>
                <w:highlight w:val="none"/>
              </w:rPr>
              <w:t>采购代理服务费付至：</w:t>
            </w:r>
            <w:r>
              <w:rPr>
                <w:rFonts w:hint="eastAsia" w:ascii="宋体" w:hAnsi="宋体" w:cs="宋体"/>
                <w:bCs/>
                <w:color w:val="auto"/>
                <w:szCs w:val="21"/>
                <w:highlight w:val="none"/>
              </w:rPr>
              <w:t>详见《采购代理服务费承诺书》</w:t>
            </w:r>
          </w:p>
          <w:p>
            <w:pPr>
              <w:numPr>
                <w:ilvl w:val="0"/>
                <w:numId w:val="5"/>
              </w:numPr>
              <w:spacing w:line="300" w:lineRule="auto"/>
              <w:jc w:val="both"/>
              <w:rPr>
                <w:rFonts w:ascii="宋体" w:hAnsi="宋体" w:cs="宋体"/>
                <w:color w:val="auto"/>
                <w:szCs w:val="21"/>
                <w:highlight w:val="none"/>
              </w:rPr>
            </w:pPr>
            <w:r>
              <w:rPr>
                <w:rFonts w:hint="eastAsia" w:ascii="宋体" w:hAnsi="宋体" w:cs="宋体"/>
                <w:color w:val="auto"/>
                <w:szCs w:val="21"/>
                <w:highlight w:val="none"/>
              </w:rPr>
              <w:t>投标人应签署第六章所附格式的采购代理服务费承诺书，作为投标文件的一部分。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2"/>
            <w:vAlign w:val="center"/>
          </w:tcPr>
          <w:p>
            <w:pPr>
              <w:tabs>
                <w:tab w:val="left" w:pos="360"/>
              </w:tabs>
              <w:spacing w:line="300" w:lineRule="auto"/>
              <w:jc w:val="center"/>
              <w:rPr>
                <w:rFonts w:ascii="宋体" w:hAnsi="宋体" w:cs="宋体"/>
                <w:color w:val="auto"/>
                <w:szCs w:val="21"/>
                <w:highlight w:val="none"/>
              </w:rPr>
            </w:pPr>
            <w:r>
              <w:rPr>
                <w:rFonts w:hint="eastAsia" w:ascii="宋体" w:hAnsi="宋体" w:cs="宋体"/>
                <w:b/>
                <w:color w:val="auto"/>
                <w:szCs w:val="21"/>
                <w:highlight w:val="none"/>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bCs/>
                <w:color w:val="auto"/>
                <w:szCs w:val="21"/>
                <w:highlight w:val="none"/>
              </w:rPr>
            </w:pPr>
            <w:r>
              <w:rPr>
                <w:rFonts w:hint="eastAsia" w:ascii="宋体" w:hAnsi="宋体" w:cs="宋体"/>
                <w:bCs/>
                <w:color w:val="auto"/>
                <w:szCs w:val="21"/>
                <w:highlight w:val="none"/>
              </w:rPr>
              <w:t>本项目相关公告在以下媒体发布：</w:t>
            </w:r>
          </w:p>
          <w:p>
            <w:pPr>
              <w:numPr>
                <w:ilvl w:val="0"/>
                <w:numId w:val="7"/>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中国政府采购网（www.ccgp.gov.cn）； </w:t>
            </w:r>
          </w:p>
          <w:p>
            <w:pPr>
              <w:numPr>
                <w:ilvl w:val="0"/>
                <w:numId w:val="7"/>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中国招标投标公共服务平台（www.cebpubservice.com）；</w:t>
            </w:r>
          </w:p>
          <w:p>
            <w:pPr>
              <w:numPr>
                <w:ilvl w:val="0"/>
                <w:numId w:val="7"/>
              </w:num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中达安股份有限公司(http://www.gddaan.com/index.php)。</w:t>
            </w:r>
          </w:p>
          <w:p>
            <w:pPr>
              <w:tabs>
                <w:tab w:val="left" w:pos="360"/>
              </w:tabs>
              <w:spacing w:line="300" w:lineRule="auto"/>
              <w:rPr>
                <w:rFonts w:ascii="宋体" w:hAnsi="宋体" w:cs="宋体"/>
                <w:b/>
                <w:bCs/>
                <w:color w:val="auto"/>
                <w:szCs w:val="21"/>
                <w:highlight w:val="none"/>
              </w:rPr>
            </w:pPr>
            <w:r>
              <w:rPr>
                <w:rFonts w:hint="eastAsia" w:ascii="宋体" w:hAnsi="宋体" w:cs="宋体"/>
                <w:b/>
                <w:bCs/>
                <w:color w:val="auto"/>
                <w:szCs w:val="21"/>
                <w:highlight w:val="none"/>
              </w:rPr>
              <w:t>注：1、相关公告在上述媒体上公布之日即视为有效送达，不再另行通知。各投标人应随时关注报名项目信息，及时</w:t>
            </w:r>
            <w:r>
              <w:rPr>
                <w:rFonts w:hint="eastAsia" w:ascii="宋体" w:hAnsi="宋体" w:cs="宋体"/>
                <w:b/>
                <w:bCs/>
                <w:color w:val="auto"/>
                <w:szCs w:val="21"/>
                <w:highlight w:val="none"/>
                <w:lang w:eastAsia="zh-CN"/>
              </w:rPr>
              <w:t>登录</w:t>
            </w:r>
            <w:r>
              <w:rPr>
                <w:rFonts w:hint="eastAsia" w:ascii="宋体" w:hAnsi="宋体" w:cs="宋体"/>
                <w:b/>
                <w:bCs/>
                <w:color w:val="auto"/>
                <w:szCs w:val="21"/>
                <w:highlight w:val="none"/>
              </w:rPr>
              <w:t>上述网站下载相关文件，否则所造成的一切后果由投标人自负。</w:t>
            </w:r>
          </w:p>
          <w:p>
            <w:pPr>
              <w:tabs>
                <w:tab w:val="left" w:pos="360"/>
              </w:tabs>
              <w:spacing w:line="300" w:lineRule="auto"/>
              <w:rPr>
                <w:rFonts w:ascii="宋体" w:hAnsi="宋体" w:cs="宋体"/>
                <w:b/>
                <w:bCs/>
                <w:color w:val="auto"/>
                <w:szCs w:val="21"/>
                <w:highlight w:val="none"/>
              </w:rPr>
            </w:pPr>
            <w:r>
              <w:rPr>
                <w:rFonts w:hint="eastAsia" w:ascii="宋体" w:hAnsi="宋体" w:cs="宋体"/>
                <w:b/>
                <w:bCs/>
                <w:color w:val="auto"/>
                <w:szCs w:val="21"/>
                <w:highlight w:val="none"/>
              </w:rPr>
              <w:t>2、在不同媒体发布的同一采购信息内容、时间不一致的，以在中国政府采购网发布的信息为准。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bCs/>
                <w:color w:val="auto"/>
                <w:szCs w:val="21"/>
                <w:highlight w:val="none"/>
              </w:rPr>
            </w:pPr>
            <w:r>
              <w:rPr>
                <w:rFonts w:hint="eastAsia" w:ascii="宋体" w:hAnsi="宋体" w:cs="宋体"/>
                <w:bCs/>
                <w:color w:val="auto"/>
                <w:szCs w:val="21"/>
                <w:highlight w:val="none"/>
              </w:rPr>
              <w:t>评标委员会成员人数：5人。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bCs/>
                <w:color w:val="auto"/>
                <w:szCs w:val="21"/>
                <w:highlight w:val="none"/>
              </w:rPr>
            </w:pPr>
            <w:r>
              <w:rPr>
                <w:rFonts w:hint="eastAsia" w:ascii="宋体" w:hAnsi="宋体" w:cs="宋体"/>
                <w:bCs/>
                <w:color w:val="auto"/>
                <w:szCs w:val="21"/>
                <w:highlight w:val="none"/>
              </w:rPr>
              <w:t>评标方法：</w:t>
            </w:r>
            <w:r>
              <w:rPr>
                <w:rFonts w:hint="eastAsia" w:hAnsi="宋体" w:eastAsia="等线" w:cs="仿宋_GB2312"/>
                <w:color w:val="auto"/>
                <w:sz w:val="28"/>
                <w:szCs w:val="28"/>
                <w:highlight w:val="none"/>
              </w:rPr>
              <w:t>☑</w:t>
            </w:r>
            <w:r>
              <w:rPr>
                <w:rFonts w:hint="eastAsia" w:hAnsi="宋体" w:eastAsia="等线" w:cs="仿宋_GB2312"/>
                <w:color w:val="auto"/>
                <w:sz w:val="24"/>
                <w:highlight w:val="none"/>
              </w:rPr>
              <w:t xml:space="preserve"> </w:t>
            </w:r>
            <w:r>
              <w:rPr>
                <w:rFonts w:hint="eastAsia" w:ascii="宋体" w:hAnsi="宋体" w:cs="宋体"/>
                <w:bCs/>
                <w:color w:val="auto"/>
                <w:szCs w:val="21"/>
                <w:highlight w:val="none"/>
              </w:rPr>
              <w:t xml:space="preserve">采用综合评分法     </w:t>
            </w:r>
            <w:bookmarkStart w:id="44" w:name="EB70dd486ab2a74bb09958f2a55e09a0a9"/>
            <w:r>
              <w:rPr>
                <w:rFonts w:hint="eastAsia" w:hAnsi="宋体" w:eastAsia="等线" w:cs="仿宋_GB2312"/>
                <w:color w:val="auto"/>
                <w:sz w:val="28"/>
                <w:szCs w:val="28"/>
                <w:highlight w:val="none"/>
              </w:rPr>
              <w:t>□</w:t>
            </w:r>
            <w:r>
              <w:rPr>
                <w:rFonts w:hint="eastAsia" w:hAnsi="宋体" w:eastAsia="等线" w:cs="仿宋_GB2312"/>
                <w:color w:val="auto"/>
                <w:sz w:val="24"/>
                <w:highlight w:val="none"/>
              </w:rPr>
              <w:t xml:space="preserve"> </w:t>
            </w:r>
            <w:bookmarkEnd w:id="44"/>
            <w:r>
              <w:rPr>
                <w:rFonts w:hint="eastAsia" w:ascii="宋体" w:hAnsi="宋体" w:cs="宋体"/>
                <w:bCs/>
                <w:color w:val="auto"/>
                <w:szCs w:val="21"/>
                <w:highlight w:val="none"/>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color w:val="auto"/>
                <w:szCs w:val="21"/>
                <w:highlight w:val="none"/>
              </w:rPr>
            </w:pPr>
            <w:r>
              <w:rPr>
                <w:rFonts w:hint="eastAsia" w:ascii="宋体" w:hAnsi="宋体" w:cs="宋体"/>
                <w:color w:val="auto"/>
                <w:szCs w:val="21"/>
                <w:highlight w:val="none"/>
              </w:rPr>
              <w:t>推荐中标候选人</w:t>
            </w:r>
          </w:p>
          <w:p>
            <w:pPr>
              <w:tabs>
                <w:tab w:val="left" w:pos="360"/>
              </w:tabs>
              <w:spacing w:line="300" w:lineRule="auto"/>
              <w:rPr>
                <w:rFonts w:ascii="宋体" w:hAnsi="宋体" w:cs="宋体"/>
                <w:color w:val="auto"/>
                <w:szCs w:val="21"/>
                <w:highlight w:val="none"/>
              </w:rPr>
            </w:pPr>
            <w:r>
              <w:rPr>
                <w:rFonts w:hint="eastAsia" w:hAnsi="宋体" w:eastAsia="等线" w:cs="仿宋_GB2312"/>
                <w:color w:val="auto"/>
                <w:sz w:val="28"/>
                <w:szCs w:val="28"/>
                <w:highlight w:val="none"/>
              </w:rPr>
              <w:t>☑</w:t>
            </w:r>
            <w:r>
              <w:rPr>
                <w:rFonts w:hint="eastAsia" w:hAnsi="宋体" w:eastAsia="等线" w:cs="仿宋_GB2312"/>
                <w:color w:val="auto"/>
                <w:sz w:val="24"/>
                <w:highlight w:val="none"/>
              </w:rPr>
              <w:t xml:space="preserve"> </w:t>
            </w:r>
            <w:r>
              <w:rPr>
                <w:rFonts w:hint="eastAsia" w:ascii="宋体" w:hAnsi="宋体" w:cs="宋体"/>
                <w:color w:val="auto"/>
                <w:szCs w:val="21"/>
                <w:highlight w:val="none"/>
              </w:rPr>
              <w:t>综合评分法：</w:t>
            </w:r>
            <w:r>
              <w:rPr>
                <w:rFonts w:hint="eastAsia" w:ascii="Times New Roman" w:hAnsi="Times New Roman"/>
                <w:color w:val="auto"/>
                <w:highlight w:val="none"/>
                <w:lang w:val="en-US" w:eastAsia="zh-CN"/>
              </w:rPr>
              <w:t>本项目</w:t>
            </w:r>
            <w:r>
              <w:rPr>
                <w:rFonts w:ascii="Times New Roman" w:hAnsi="Times New Roman"/>
                <w:color w:val="auto"/>
                <w:highlight w:val="none"/>
              </w:rPr>
              <w:t>推荐</w:t>
            </w:r>
            <w:r>
              <w:rPr>
                <w:rFonts w:hint="eastAsia" w:ascii="Times New Roman" w:hAnsi="Times New Roman"/>
                <w:color w:val="auto"/>
                <w:highlight w:val="none"/>
                <w:lang w:val="en-US" w:eastAsia="zh-CN"/>
              </w:rPr>
              <w:t>二</w:t>
            </w:r>
            <w:r>
              <w:rPr>
                <w:rFonts w:ascii="Times New Roman" w:hAnsi="Times New Roman"/>
                <w:color w:val="auto"/>
                <w:highlight w:val="none"/>
              </w:rPr>
              <w:t>名中标候选人</w:t>
            </w:r>
            <w:r>
              <w:rPr>
                <w:rFonts w:hint="eastAsia" w:ascii="Times New Roman" w:hAnsi="Times New Roman"/>
                <w:color w:val="auto"/>
                <w:highlight w:val="none"/>
                <w:lang w:val="en-US" w:eastAsia="zh-CN"/>
              </w:rPr>
              <w:t>；</w:t>
            </w:r>
            <w:r>
              <w:rPr>
                <w:rFonts w:ascii="Times New Roman" w:hAnsi="Times New Roman"/>
                <w:color w:val="auto"/>
                <w:highlight w:val="none"/>
              </w:rPr>
              <w:t>将各有效投标人按其综合得分由高到低顺序排列</w:t>
            </w:r>
            <w:r>
              <w:rPr>
                <w:rFonts w:hint="eastAsia" w:ascii="Times New Roman" w:hAnsi="Times New Roman"/>
                <w:color w:val="auto"/>
                <w:highlight w:val="none"/>
                <w:lang w:eastAsia="zh-CN"/>
              </w:rPr>
              <w:t>，</w:t>
            </w:r>
            <w:r>
              <w:rPr>
                <w:rFonts w:ascii="Times New Roman" w:hAnsi="Times New Roman"/>
                <w:color w:val="auto"/>
                <w:highlight w:val="none"/>
              </w:rPr>
              <w:t>排名第一的投标人</w:t>
            </w:r>
            <w:r>
              <w:rPr>
                <w:rFonts w:hint="eastAsia" w:ascii="Times New Roman" w:hAnsi="Times New Roman"/>
                <w:color w:val="auto"/>
                <w:highlight w:val="none"/>
                <w:lang w:val="en-US" w:eastAsia="zh-CN"/>
              </w:rPr>
              <w:t>推荐</w:t>
            </w:r>
            <w:r>
              <w:rPr>
                <w:rFonts w:ascii="Times New Roman" w:hAnsi="Times New Roman"/>
                <w:color w:val="auto"/>
                <w:highlight w:val="none"/>
              </w:rPr>
              <w:t>为第一中标候选人，排名第二的投标人</w:t>
            </w:r>
            <w:r>
              <w:rPr>
                <w:rFonts w:hint="eastAsia" w:ascii="Times New Roman" w:hAnsi="Times New Roman"/>
                <w:color w:val="auto"/>
                <w:highlight w:val="none"/>
                <w:lang w:val="en-US" w:eastAsia="zh-CN"/>
              </w:rPr>
              <w:t>推荐</w:t>
            </w:r>
            <w:r>
              <w:rPr>
                <w:rFonts w:ascii="Times New Roman" w:hAnsi="Times New Roman"/>
                <w:color w:val="auto"/>
                <w:highlight w:val="none"/>
              </w:rPr>
              <w:t>为第二中标候选人。</w:t>
            </w:r>
          </w:p>
          <w:p>
            <w:pPr>
              <w:tabs>
                <w:tab w:val="left" w:pos="360"/>
              </w:tabs>
              <w:spacing w:line="300" w:lineRule="auto"/>
              <w:rPr>
                <w:rFonts w:ascii="宋体" w:hAnsi="宋体" w:cs="宋体"/>
                <w:color w:val="auto"/>
                <w:szCs w:val="21"/>
                <w:highlight w:val="none"/>
              </w:rPr>
            </w:pPr>
            <w:r>
              <w:rPr>
                <w:rFonts w:hint="eastAsia" w:hAnsi="宋体" w:eastAsia="等线" w:cs="仿宋_GB2312"/>
                <w:color w:val="auto"/>
                <w:sz w:val="28"/>
                <w:szCs w:val="28"/>
                <w:highlight w:val="none"/>
              </w:rPr>
              <w:t>□</w:t>
            </w:r>
            <w:r>
              <w:rPr>
                <w:rFonts w:hint="eastAsia" w:hAnsi="宋体" w:eastAsia="等线" w:cs="仿宋_GB2312"/>
                <w:color w:val="auto"/>
                <w:sz w:val="24"/>
                <w:highlight w:val="none"/>
              </w:rPr>
              <w:t xml:space="preserve"> </w:t>
            </w:r>
            <w:r>
              <w:rPr>
                <w:rFonts w:hint="eastAsia" w:ascii="宋体" w:hAnsi="宋体" w:cs="宋体"/>
                <w:color w:val="auto"/>
                <w:szCs w:val="21"/>
                <w:highlight w:val="none"/>
              </w:rPr>
              <w:t>最低评标价法：按照投标报价由低到高的顺序推荐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名中标候选人。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color w:val="auto"/>
                <w:szCs w:val="21"/>
                <w:highlight w:val="none"/>
              </w:rPr>
            </w:pPr>
            <w:r>
              <w:rPr>
                <w:rFonts w:hint="eastAsia" w:ascii="宋体" w:hAnsi="宋体" w:cs="宋体"/>
                <w:color w:val="auto"/>
                <w:szCs w:val="21"/>
                <w:highlight w:val="none"/>
              </w:rPr>
              <w:t>中标人的确定：本项目确认综合得分排名第一的中标候选人为本项目的中标人，与其签定合同。</w:t>
            </w:r>
          </w:p>
          <w:p>
            <w:pPr>
              <w:tabs>
                <w:tab w:val="left" w:pos="360"/>
              </w:tabs>
              <w:spacing w:line="300" w:lineRule="auto"/>
              <w:rPr>
                <w:rFonts w:ascii="宋体" w:hAnsi="宋体" w:cs="宋体"/>
                <w:color w:val="auto"/>
                <w:szCs w:val="21"/>
                <w:highlight w:val="none"/>
              </w:rPr>
            </w:pPr>
            <w:r>
              <w:rPr>
                <w:rFonts w:hint="eastAsia" w:ascii="宋体" w:hAnsi="宋体" w:cs="宋体"/>
                <w:color w:val="auto"/>
                <w:szCs w:val="21"/>
                <w:highlight w:val="none"/>
              </w:rPr>
              <w:t>中标候选人并列的，由采购人采取</w:t>
            </w:r>
            <w:r>
              <w:rPr>
                <w:rFonts w:hint="eastAsia" w:ascii="宋体" w:hAnsi="宋体" w:cs="宋体"/>
                <w:b w:val="0"/>
                <w:bCs w:val="0"/>
                <w:color w:val="auto"/>
                <w:szCs w:val="21"/>
                <w:highlight w:val="none"/>
              </w:rPr>
              <w:t>随机抽取</w:t>
            </w:r>
            <w:r>
              <w:rPr>
                <w:rFonts w:hint="eastAsia" w:ascii="宋体" w:hAnsi="宋体" w:cs="宋体"/>
                <w:color w:val="auto"/>
                <w:szCs w:val="21"/>
                <w:highlight w:val="none"/>
              </w:rPr>
              <w:t>确定中标人。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color w:val="auto"/>
                <w:szCs w:val="21"/>
                <w:highlight w:val="none"/>
              </w:rPr>
            </w:pPr>
            <w:r>
              <w:rPr>
                <w:rFonts w:hint="eastAsia" w:ascii="宋体" w:hAnsi="宋体" w:cs="宋体"/>
                <w:b/>
                <w:color w:val="auto"/>
                <w:szCs w:val="21"/>
                <w:highlight w:val="none"/>
              </w:rPr>
              <w:t>本项目标的按照《中小企业划型标准规定》(工信部联企业[2011]300号)划分行业为：</w:t>
            </w:r>
            <w:r>
              <w:rPr>
                <w:rFonts w:hint="eastAsia" w:ascii="宋体" w:hAnsi="宋体" w:cs="宋体"/>
                <w:b/>
                <w:color w:val="auto"/>
                <w:szCs w:val="21"/>
                <w:highlight w:val="none"/>
                <w:lang w:eastAsia="zh-CN"/>
              </w:rPr>
              <w:t>物业管理</w:t>
            </w:r>
            <w:r>
              <w:rPr>
                <w:rFonts w:hint="eastAsia" w:ascii="宋体" w:hAnsi="宋体" w:cs="宋体"/>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28" w:type="pc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4371" w:type="pct"/>
            <w:vAlign w:val="center"/>
          </w:tcPr>
          <w:p>
            <w:pPr>
              <w:tabs>
                <w:tab w:val="left" w:pos="360"/>
              </w:tabs>
              <w:spacing w:line="300" w:lineRule="auto"/>
              <w:rPr>
                <w:rFonts w:ascii="宋体" w:hAnsi="宋体" w:cs="宋体"/>
                <w:color w:val="auto"/>
                <w:szCs w:val="21"/>
                <w:highlight w:val="none"/>
              </w:rPr>
            </w:pPr>
            <w:r>
              <w:rPr>
                <w:rFonts w:hint="eastAsia" w:ascii="宋体" w:hAnsi="宋体" w:cs="宋体"/>
                <w:color w:val="auto"/>
                <w:szCs w:val="21"/>
                <w:highlight w:val="none"/>
              </w:rPr>
              <w:t>监督管理机构名称：</w:t>
            </w:r>
            <w:r>
              <w:rPr>
                <w:rFonts w:hint="eastAsia" w:ascii="宋体" w:hAnsi="宋体" w:cs="宋体"/>
                <w:b/>
                <w:bCs/>
                <w:color w:val="auto"/>
                <w:szCs w:val="21"/>
                <w:highlight w:val="none"/>
              </w:rPr>
              <w:t>财政部国库司政府采购管理处，电话：010-68513070</w:t>
            </w:r>
          </w:p>
        </w:tc>
      </w:tr>
    </w:tbl>
    <w:p>
      <w:pPr>
        <w:spacing w:line="360" w:lineRule="auto"/>
        <w:jc w:val="center"/>
        <w:outlineLvl w:val="0"/>
        <w:rPr>
          <w:rFonts w:ascii="黑体" w:hAnsi="黑体" w:eastAsia="黑体" w:cs="黑体"/>
          <w:b/>
          <w:bCs/>
          <w:color w:val="auto"/>
          <w:sz w:val="32"/>
          <w:szCs w:val="32"/>
          <w:highlight w:val="none"/>
        </w:rPr>
      </w:pPr>
      <w:r>
        <w:rPr>
          <w:rFonts w:hint="eastAsia" w:ascii="宋体" w:hAnsi="宋体" w:cs="宋体"/>
          <w:color w:val="auto"/>
          <w:highlight w:val="none"/>
        </w:rPr>
        <w:br w:type="page"/>
      </w:r>
      <w:bookmarkStart w:id="45" w:name="_Toc528053758"/>
      <w:bookmarkStart w:id="46" w:name="_Toc435115054"/>
      <w:bookmarkStart w:id="47" w:name="_Toc6136"/>
      <w:bookmarkStart w:id="48" w:name="_Toc435514849"/>
      <w:bookmarkStart w:id="49" w:name="_Toc520811881"/>
      <w:r>
        <w:rPr>
          <w:rFonts w:hint="eastAsia" w:ascii="黑体" w:hAnsi="黑体" w:eastAsia="黑体" w:cs="黑体"/>
          <w:b/>
          <w:bCs/>
          <w:color w:val="auto"/>
          <w:sz w:val="32"/>
          <w:szCs w:val="32"/>
          <w:highlight w:val="none"/>
        </w:rPr>
        <w:t xml:space="preserve">第三章 </w:t>
      </w:r>
      <w:bookmarkEnd w:id="45"/>
      <w:r>
        <w:rPr>
          <w:rFonts w:hint="eastAsia" w:ascii="黑体" w:hAnsi="黑体" w:eastAsia="黑体" w:cs="黑体"/>
          <w:b/>
          <w:bCs/>
          <w:color w:val="auto"/>
          <w:sz w:val="32"/>
          <w:szCs w:val="32"/>
          <w:highlight w:val="none"/>
        </w:rPr>
        <w:t>用户需求书</w:t>
      </w:r>
      <w:bookmarkEnd w:id="46"/>
      <w:bookmarkEnd w:id="47"/>
      <w:bookmarkEnd w:id="48"/>
      <w:bookmarkEnd w:id="49"/>
    </w:p>
    <w:p>
      <w:pPr>
        <w:pStyle w:val="21"/>
        <w:numPr>
          <w:ilvl w:val="0"/>
          <w:numId w:val="8"/>
        </w:numPr>
        <w:tabs>
          <w:tab w:val="left" w:pos="540"/>
        </w:tabs>
        <w:adjustRightInd w:val="0"/>
        <w:snapToGrid w:val="0"/>
        <w:spacing w:line="360" w:lineRule="auto"/>
        <w:outlineLvl w:val="1"/>
        <w:rPr>
          <w:rFonts w:hAnsi="宋体" w:cs="宋体"/>
          <w:b/>
          <w:bCs/>
          <w:color w:val="auto"/>
          <w:sz w:val="21"/>
          <w:szCs w:val="21"/>
          <w:highlight w:val="none"/>
        </w:rPr>
      </w:pPr>
      <w:bookmarkStart w:id="50" w:name="_Toc5649"/>
      <w:r>
        <w:rPr>
          <w:rFonts w:hint="eastAsia" w:hAnsi="宋体" w:cs="宋体"/>
          <w:b/>
          <w:color w:val="auto"/>
          <w:sz w:val="21"/>
          <w:szCs w:val="21"/>
          <w:highlight w:val="none"/>
        </w:rPr>
        <w:t>总体要求</w:t>
      </w:r>
      <w:bookmarkEnd w:id="50"/>
    </w:p>
    <w:p>
      <w:pPr>
        <w:numPr>
          <w:ilvl w:val="0"/>
          <w:numId w:val="9"/>
        </w:numPr>
        <w:tabs>
          <w:tab w:val="left" w:pos="420"/>
        </w:tabs>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投标人须对本项目为单位的标的内容进行整体响应，任何只对标的内容其中一部分内容进行的响应都被视为无效投标。</w:t>
      </w:r>
    </w:p>
    <w:p>
      <w:pPr>
        <w:numPr>
          <w:ilvl w:val="0"/>
          <w:numId w:val="9"/>
        </w:numPr>
        <w:tabs>
          <w:tab w:val="left" w:pos="420"/>
        </w:tabs>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用户需求书中打“★”号条款为实质性条款，有任何一条负偏离则导致无效投标。</w:t>
      </w:r>
    </w:p>
    <w:p>
      <w:pPr>
        <w:pStyle w:val="2"/>
        <w:rPr>
          <w:color w:val="auto"/>
          <w:highlight w:val="none"/>
        </w:rPr>
      </w:pPr>
    </w:p>
    <w:p>
      <w:pPr>
        <w:pStyle w:val="21"/>
        <w:numPr>
          <w:ilvl w:val="0"/>
          <w:numId w:val="8"/>
        </w:numPr>
        <w:tabs>
          <w:tab w:val="left" w:pos="540"/>
        </w:tabs>
        <w:adjustRightInd w:val="0"/>
        <w:snapToGrid w:val="0"/>
        <w:spacing w:line="360" w:lineRule="auto"/>
        <w:outlineLvl w:val="1"/>
        <w:rPr>
          <w:rFonts w:hAnsi="宋体" w:cs="宋体"/>
          <w:b/>
          <w:color w:val="auto"/>
          <w:sz w:val="21"/>
          <w:szCs w:val="21"/>
          <w:highlight w:val="none"/>
        </w:rPr>
      </w:pPr>
      <w:bookmarkStart w:id="51" w:name="_Toc25199"/>
      <w:bookmarkStart w:id="52" w:name="_Toc8845"/>
      <w:r>
        <w:rPr>
          <w:rFonts w:hint="eastAsia" w:hAnsi="宋体" w:cs="宋体"/>
          <w:b/>
          <w:color w:val="auto"/>
          <w:sz w:val="21"/>
          <w:szCs w:val="21"/>
          <w:highlight w:val="none"/>
        </w:rPr>
        <w:t>项目内容一览表</w:t>
      </w:r>
      <w:bookmarkEnd w:id="51"/>
      <w:bookmarkEnd w:id="52"/>
      <w:r>
        <w:rPr>
          <w:rFonts w:hint="eastAsia" w:hAnsi="宋体" w:cs="宋体"/>
          <w:b/>
          <w:color w:val="auto"/>
          <w:sz w:val="21"/>
          <w:szCs w:val="21"/>
          <w:highlight w:val="none"/>
        </w:rPr>
        <w:t xml:space="preserve"> </w:t>
      </w:r>
    </w:p>
    <w:tbl>
      <w:tblPr>
        <w:tblStyle w:val="40"/>
        <w:tblW w:w="45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118"/>
        <w:gridCol w:w="3582"/>
        <w:gridCol w:w="1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84" w:type="dxa"/>
            <w:vAlign w:val="center"/>
          </w:tcPr>
          <w:p>
            <w:pPr>
              <w:adjustRightInd w:val="0"/>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采购内容</w:t>
            </w:r>
          </w:p>
        </w:tc>
        <w:tc>
          <w:tcPr>
            <w:tcW w:w="1118" w:type="dxa"/>
            <w:vAlign w:val="center"/>
          </w:tcPr>
          <w:p>
            <w:pPr>
              <w:adjustRightInd w:val="0"/>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3582" w:type="dxa"/>
            <w:vAlign w:val="center"/>
          </w:tcPr>
          <w:p>
            <w:pPr>
              <w:adjustRightInd w:val="0"/>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预算金额</w:t>
            </w:r>
            <w:r>
              <w:rPr>
                <w:rFonts w:hint="eastAsia" w:ascii="宋体" w:hAnsi="宋体" w:cs="宋体"/>
                <w:b/>
                <w:bCs/>
                <w:color w:val="auto"/>
                <w:sz w:val="21"/>
                <w:szCs w:val="21"/>
                <w:highlight w:val="none"/>
              </w:rPr>
              <w:t>（人民币</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元</w:t>
            </w:r>
            <w:r>
              <w:rPr>
                <w:rFonts w:hint="eastAsia" w:ascii="宋体" w:hAnsi="宋体" w:cs="宋体"/>
                <w:b/>
                <w:bCs/>
                <w:color w:val="auto"/>
                <w:sz w:val="21"/>
                <w:szCs w:val="21"/>
                <w:highlight w:val="none"/>
              </w:rPr>
              <w:t>）</w:t>
            </w:r>
          </w:p>
        </w:tc>
        <w:tc>
          <w:tcPr>
            <w:tcW w:w="1694" w:type="dxa"/>
            <w:vAlign w:val="center"/>
          </w:tcPr>
          <w:p>
            <w:pPr>
              <w:adjustRightInd w:val="0"/>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中标人数量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984" w:type="dxa"/>
            <w:vAlign w:val="center"/>
          </w:tcPr>
          <w:p>
            <w:pPr>
              <w:adjustRightInd w:val="0"/>
              <w:snapToGrid w:val="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物业管理服务</w:t>
            </w:r>
          </w:p>
        </w:tc>
        <w:tc>
          <w:tcPr>
            <w:tcW w:w="1118" w:type="dxa"/>
            <w:vAlign w:val="center"/>
          </w:tcPr>
          <w:p>
            <w:pPr>
              <w:adjustRightInd w:val="0"/>
              <w:snapToGrid w:val="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1项</w:t>
            </w:r>
          </w:p>
        </w:tc>
        <w:tc>
          <w:tcPr>
            <w:tcW w:w="3582" w:type="dxa"/>
            <w:vAlign w:val="center"/>
          </w:tcPr>
          <w:p>
            <w:pPr>
              <w:adjustRightInd w:val="0"/>
              <w:snapToGrid w:val="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月度物业管理服务费预算价为139982.96元，</w:t>
            </w:r>
            <w:r>
              <w:rPr>
                <w:rFonts w:hint="eastAsia" w:ascii="宋体" w:hAnsi="宋体" w:cs="宋体"/>
                <w:bCs/>
                <w:color w:val="auto"/>
                <w:sz w:val="21"/>
                <w:szCs w:val="21"/>
                <w:highlight w:val="none"/>
                <w:lang w:eastAsia="zh-CN"/>
              </w:rPr>
              <w:t>服务期总预算价</w:t>
            </w:r>
            <w:r>
              <w:rPr>
                <w:rFonts w:hint="eastAsia" w:ascii="宋体" w:hAnsi="宋体" w:cs="宋体"/>
                <w:bCs/>
                <w:color w:val="auto"/>
                <w:sz w:val="21"/>
                <w:szCs w:val="21"/>
                <w:highlight w:val="none"/>
              </w:rPr>
              <w:t>为2239727.36元</w:t>
            </w:r>
          </w:p>
        </w:tc>
        <w:tc>
          <w:tcPr>
            <w:tcW w:w="1694" w:type="dxa"/>
            <w:vAlign w:val="center"/>
          </w:tcPr>
          <w:p>
            <w:pPr>
              <w:adjustRightInd w:val="0"/>
              <w:snapToGrid w:val="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1家中标人</w:t>
            </w:r>
          </w:p>
        </w:tc>
      </w:tr>
    </w:tbl>
    <w:p>
      <w:pPr>
        <w:pStyle w:val="21"/>
        <w:numPr>
          <w:ilvl w:val="0"/>
          <w:numId w:val="8"/>
        </w:numPr>
        <w:tabs>
          <w:tab w:val="left" w:pos="540"/>
        </w:tabs>
        <w:adjustRightInd w:val="0"/>
        <w:snapToGrid w:val="0"/>
        <w:spacing w:beforeLines="50" w:line="360" w:lineRule="auto"/>
        <w:outlineLvl w:val="1"/>
        <w:rPr>
          <w:rFonts w:hAnsi="宋体" w:cs="宋体"/>
          <w:b/>
          <w:color w:val="auto"/>
          <w:sz w:val="21"/>
          <w:szCs w:val="21"/>
          <w:highlight w:val="none"/>
        </w:rPr>
      </w:pPr>
      <w:bookmarkStart w:id="53" w:name="_Toc21618"/>
      <w:bookmarkStart w:id="54" w:name="_Toc973"/>
      <w:r>
        <w:rPr>
          <w:rFonts w:hint="eastAsia" w:hAnsi="宋体" w:cs="宋体"/>
          <w:b/>
          <w:color w:val="auto"/>
          <w:sz w:val="21"/>
          <w:szCs w:val="21"/>
          <w:highlight w:val="none"/>
        </w:rPr>
        <w:t>项目概况</w:t>
      </w:r>
      <w:bookmarkEnd w:id="53"/>
    </w:p>
    <w:p>
      <w:pPr>
        <w:tabs>
          <w:tab w:val="left" w:pos="420"/>
        </w:tabs>
        <w:spacing w:line="360" w:lineRule="auto"/>
        <w:ind w:firstLine="420" w:firstLineChars="200"/>
        <w:jc w:val="left"/>
        <w:rPr>
          <w:rFonts w:ascii="Times New Roman" w:hAnsi="Times New Roman" w:cs="Times New Roman"/>
          <w:color w:val="auto"/>
          <w:kern w:val="2"/>
          <w:sz w:val="21"/>
          <w:szCs w:val="21"/>
          <w:highlight w:val="none"/>
        </w:rPr>
      </w:pPr>
      <w:r>
        <w:rPr>
          <w:rFonts w:ascii="Times New Roman" w:hAnsi="Times New Roman" w:cs="Times New Roman"/>
          <w:color w:val="auto"/>
          <w:kern w:val="2"/>
          <w:sz w:val="21"/>
          <w:szCs w:val="21"/>
          <w:highlight w:val="none"/>
        </w:rPr>
        <w:t>本项目为</w:t>
      </w:r>
      <w:r>
        <w:rPr>
          <w:rFonts w:hint="eastAsia" w:ascii="Times New Roman" w:hAnsi="Times New Roman" w:cs="Times New Roman"/>
          <w:color w:val="auto"/>
          <w:kern w:val="2"/>
          <w:sz w:val="21"/>
          <w:szCs w:val="21"/>
          <w:highlight w:val="none"/>
        </w:rPr>
        <w:t>南海出入境边防检查站</w:t>
      </w:r>
      <w:r>
        <w:rPr>
          <w:rFonts w:ascii="Times New Roman" w:hAnsi="Times New Roman" w:cs="Times New Roman"/>
          <w:color w:val="auto"/>
          <w:kern w:val="2"/>
          <w:sz w:val="21"/>
          <w:szCs w:val="21"/>
          <w:highlight w:val="none"/>
        </w:rPr>
        <w:t>（以下简称边检站）</w:t>
      </w:r>
      <w:r>
        <w:rPr>
          <w:rFonts w:hint="eastAsia" w:ascii="Times New Roman" w:hAnsi="Times New Roman" w:cs="Times New Roman"/>
          <w:color w:val="auto"/>
          <w:kern w:val="2"/>
          <w:sz w:val="21"/>
          <w:szCs w:val="21"/>
          <w:highlight w:val="none"/>
          <w:lang w:eastAsia="zh-CN"/>
        </w:rPr>
        <w:t>物业管理服务项目，服务内容包括：会务、安保、绿化、水电设备维护、清洁、饭堂外包工作等</w:t>
      </w:r>
      <w:r>
        <w:rPr>
          <w:rFonts w:ascii="Times New Roman" w:hAnsi="Times New Roman" w:cs="Times New Roman"/>
          <w:color w:val="auto"/>
          <w:kern w:val="2"/>
          <w:sz w:val="21"/>
          <w:szCs w:val="21"/>
          <w:highlight w:val="none"/>
        </w:rPr>
        <w:t>。</w:t>
      </w:r>
    </w:p>
    <w:p>
      <w:pPr>
        <w:tabs>
          <w:tab w:val="left" w:pos="420"/>
        </w:tabs>
        <w:spacing w:line="360" w:lineRule="auto"/>
        <w:ind w:firstLine="420" w:firstLineChars="200"/>
        <w:jc w:val="left"/>
        <w:rPr>
          <w:rFonts w:ascii="宋体" w:hAnsi="宋体" w:cs="宋体"/>
          <w:b/>
          <w:bCs/>
          <w:color w:val="auto"/>
          <w:sz w:val="21"/>
          <w:szCs w:val="21"/>
          <w:highlight w:val="none"/>
        </w:rPr>
      </w:pPr>
      <w:r>
        <w:rPr>
          <w:rFonts w:ascii="Times New Roman" w:hAnsi="Times New Roman"/>
          <w:color w:val="auto"/>
          <w:kern w:val="2"/>
          <w:sz w:val="21"/>
          <w:szCs w:val="21"/>
          <w:highlight w:val="none"/>
        </w:rPr>
        <w:t>服务范围：1号楼，楼高8层，整体建筑面积3600平方米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2号楼，楼高6层，整体建筑面积3300平方米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3号楼，楼高7层，整体建筑面积4700平方米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备勤宿舍8套，总体建筑面积670平方米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总体面积中华人民共和国南海边防检查站占地7227平方米，设一个出入口</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里水</w:t>
      </w:r>
      <w:r>
        <w:rPr>
          <w:rFonts w:hint="eastAsia" w:ascii="Times New Roman" w:hAnsi="Times New Roman"/>
          <w:color w:val="auto"/>
          <w:kern w:val="2"/>
          <w:sz w:val="21"/>
          <w:szCs w:val="21"/>
          <w:highlight w:val="none"/>
          <w:lang w:val="en-US" w:eastAsia="zh-CN"/>
        </w:rPr>
        <w:t>场地</w:t>
      </w:r>
      <w:r>
        <w:rPr>
          <w:rFonts w:ascii="Times New Roman" w:hAnsi="Times New Roman"/>
          <w:color w:val="auto"/>
          <w:kern w:val="2"/>
          <w:sz w:val="21"/>
          <w:szCs w:val="21"/>
          <w:highlight w:val="none"/>
        </w:rPr>
        <w:t>看管。</w:t>
      </w:r>
    </w:p>
    <w:p>
      <w:pPr>
        <w:tabs>
          <w:tab w:val="left" w:pos="420"/>
        </w:tabs>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期限：</w:t>
      </w:r>
      <w:r>
        <w:rPr>
          <w:rFonts w:hint="eastAsia" w:ascii="宋体" w:hAnsi="宋体" w:cs="宋体"/>
          <w:color w:val="auto"/>
          <w:sz w:val="21"/>
          <w:szCs w:val="21"/>
          <w:highlight w:val="none"/>
          <w:lang w:eastAsia="zh-CN"/>
        </w:rPr>
        <w:t>自2021年9月1日至2022年12月31日止</w:t>
      </w:r>
      <w:r>
        <w:rPr>
          <w:rFonts w:hint="eastAsia" w:ascii="宋体" w:hAnsi="宋体" w:cs="宋体"/>
          <w:color w:val="auto"/>
          <w:sz w:val="21"/>
          <w:szCs w:val="21"/>
          <w:highlight w:val="none"/>
        </w:rPr>
        <w:t>。</w:t>
      </w:r>
    </w:p>
    <w:p>
      <w:pPr>
        <w:pStyle w:val="21"/>
        <w:numPr>
          <w:ilvl w:val="0"/>
          <w:numId w:val="8"/>
        </w:numPr>
        <w:tabs>
          <w:tab w:val="left" w:pos="540"/>
        </w:tabs>
        <w:adjustRightInd w:val="0"/>
        <w:snapToGrid w:val="0"/>
        <w:spacing w:beforeLines="50" w:line="360" w:lineRule="auto"/>
        <w:outlineLvl w:val="1"/>
        <w:rPr>
          <w:rFonts w:hAnsi="宋体" w:cs="宋体"/>
          <w:b/>
          <w:color w:val="auto"/>
          <w:sz w:val="21"/>
          <w:szCs w:val="21"/>
          <w:highlight w:val="none"/>
        </w:rPr>
      </w:pPr>
      <w:bookmarkStart w:id="55" w:name="_Toc13733"/>
      <w:r>
        <w:rPr>
          <w:rFonts w:hint="eastAsia" w:hAnsi="宋体" w:cs="宋体"/>
          <w:b/>
          <w:color w:val="auto"/>
          <w:sz w:val="21"/>
          <w:szCs w:val="21"/>
          <w:highlight w:val="none"/>
          <w:lang w:val="en-US" w:eastAsia="zh-CN"/>
        </w:rPr>
        <w:t>服务内容及相关要求</w:t>
      </w:r>
      <w:bookmarkEnd w:id="55"/>
    </w:p>
    <w:p>
      <w:pPr>
        <w:keepNext w:val="0"/>
        <w:keepLines w:val="0"/>
        <w:pageBreakBefore w:val="0"/>
        <w:widowControl w:val="0"/>
        <w:numPr>
          <w:ilvl w:val="0"/>
          <w:numId w:val="10"/>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default" w:ascii="Times New Roman" w:hAnsi="Times New Roman"/>
          <w:b/>
          <w:bCs/>
          <w:color w:val="auto"/>
          <w:kern w:val="2"/>
          <w:sz w:val="21"/>
          <w:szCs w:val="21"/>
          <w:highlight w:val="none"/>
          <w:lang w:val="en-US" w:eastAsia="zh-CN"/>
        </w:rPr>
      </w:pPr>
      <w:r>
        <w:rPr>
          <w:rFonts w:hint="eastAsia" w:ascii="Times New Roman" w:hAnsi="Times New Roman"/>
          <w:b/>
          <w:bCs/>
          <w:color w:val="auto"/>
          <w:kern w:val="2"/>
          <w:sz w:val="21"/>
          <w:szCs w:val="21"/>
          <w:highlight w:val="none"/>
          <w:lang w:val="en-US" w:eastAsia="zh-CN"/>
        </w:rPr>
        <w:t>服务内容与人员配置要求</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项目经理（1人）：</w:t>
      </w:r>
    </w:p>
    <w:p>
      <w:pPr>
        <w:numPr>
          <w:ilvl w:val="0"/>
          <w:numId w:val="0"/>
        </w:numPr>
        <w:tabs>
          <w:tab w:val="left" w:pos="540"/>
        </w:tabs>
        <w:snapToGrid w:val="0"/>
        <w:spacing w:line="360" w:lineRule="auto"/>
        <w:ind w:left="400" w:left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本项目须</w:t>
      </w:r>
      <w:r>
        <w:rPr>
          <w:rFonts w:ascii="Times New Roman" w:hAnsi="Times New Roman"/>
          <w:bCs/>
          <w:color w:val="auto"/>
          <w:kern w:val="2"/>
          <w:sz w:val="21"/>
          <w:szCs w:val="21"/>
          <w:highlight w:val="none"/>
        </w:rPr>
        <w:t>配备1名驻场经理</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全面</w:t>
      </w:r>
      <w:r>
        <w:rPr>
          <w:rFonts w:ascii="Times New Roman" w:hAnsi="Times New Roman"/>
          <w:bCs/>
          <w:color w:val="auto"/>
          <w:kern w:val="2"/>
          <w:sz w:val="21"/>
          <w:szCs w:val="21"/>
          <w:highlight w:val="none"/>
        </w:rPr>
        <w:t>负责</w:t>
      </w:r>
      <w:r>
        <w:rPr>
          <w:rFonts w:hint="eastAsia" w:ascii="Times New Roman" w:hAnsi="Times New Roman"/>
          <w:bCs/>
          <w:color w:val="auto"/>
          <w:kern w:val="2"/>
          <w:sz w:val="21"/>
          <w:szCs w:val="21"/>
          <w:highlight w:val="none"/>
          <w:lang w:val="en-US" w:eastAsia="zh-CN"/>
        </w:rPr>
        <w:t>边检站的物业管理服务</w:t>
      </w:r>
      <w:r>
        <w:rPr>
          <w:rFonts w:ascii="Times New Roman" w:hAnsi="Times New Roman"/>
          <w:bCs/>
          <w:color w:val="auto"/>
          <w:kern w:val="2"/>
          <w:sz w:val="21"/>
          <w:szCs w:val="21"/>
          <w:highlight w:val="none"/>
        </w:rPr>
        <w:t>工作。</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保安组（8人）</w:t>
      </w:r>
      <w:r>
        <w:rPr>
          <w:rFonts w:ascii="Times New Roman" w:hAnsi="Times New Roman"/>
          <w:bCs/>
          <w:color w:val="auto"/>
          <w:kern w:val="2"/>
          <w:sz w:val="21"/>
          <w:szCs w:val="21"/>
          <w:highlight w:val="none"/>
        </w:rPr>
        <w:t>：</w:t>
      </w:r>
    </w:p>
    <w:p>
      <w:pPr>
        <w:pStyle w:val="17"/>
        <w:keepNext w:val="0"/>
        <w:keepLines w:val="0"/>
        <w:pageBreakBefore w:val="0"/>
        <w:widowControl w:val="0"/>
        <w:kinsoku/>
        <w:wordWrap/>
        <w:overflowPunct/>
        <w:topLinePunct w:val="0"/>
        <w:autoSpaceDE/>
        <w:autoSpaceDN/>
        <w:bidi w:val="0"/>
        <w:adjustRightInd/>
        <w:spacing w:after="0" w:line="360" w:lineRule="auto"/>
        <w:ind w:firstLine="420" w:firstLineChars="200"/>
        <w:rPr>
          <w:rFonts w:hint="default" w:eastAsia="宋体"/>
          <w:color w:val="auto"/>
          <w:sz w:val="21"/>
          <w:szCs w:val="21"/>
          <w:highlight w:val="none"/>
          <w:lang w:val="en-US" w:eastAsia="zh-CN"/>
        </w:rPr>
      </w:pPr>
      <w:r>
        <w:rPr>
          <w:rFonts w:hint="eastAsia" w:ascii="Times New Roman" w:hAnsi="Times New Roman"/>
          <w:bCs/>
          <w:color w:val="auto"/>
          <w:kern w:val="2"/>
          <w:sz w:val="21"/>
          <w:szCs w:val="21"/>
          <w:highlight w:val="none"/>
          <w:lang w:val="en-US" w:eastAsia="zh-CN"/>
        </w:rPr>
        <w:t>1）边检站范围占地7227平方米，设一个出入口，须配备6名保安轮流值班（含1名保安领班）。里水场地看管，设一个出入口，须配备2名保安轮流值班。保安领班负责保安组人员的管理。</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2）工作要求：</w:t>
      </w:r>
      <w:r>
        <w:rPr>
          <w:rFonts w:ascii="Times New Roman" w:hAnsi="Times New Roman"/>
          <w:bCs/>
          <w:color w:val="auto"/>
          <w:kern w:val="2"/>
          <w:sz w:val="21"/>
          <w:szCs w:val="21"/>
          <w:highlight w:val="none"/>
        </w:rPr>
        <w:t>出入口点24小时值班，站区范围内每两个小时巡检一次</w:t>
      </w:r>
      <w:r>
        <w:rPr>
          <w:rFonts w:hint="eastAsia" w:ascii="Times New Roman" w:hAnsi="Times New Roman"/>
          <w:bCs/>
          <w:color w:val="auto"/>
          <w:kern w:val="2"/>
          <w:sz w:val="21"/>
          <w:szCs w:val="21"/>
          <w:highlight w:val="none"/>
          <w:lang w:val="en-US" w:eastAsia="zh-CN"/>
        </w:rPr>
        <w:t>；里水场地</w:t>
      </w:r>
      <w:r>
        <w:rPr>
          <w:rFonts w:ascii="Times New Roman" w:hAnsi="Times New Roman"/>
          <w:bCs/>
          <w:color w:val="auto"/>
          <w:kern w:val="2"/>
          <w:sz w:val="21"/>
          <w:szCs w:val="21"/>
          <w:highlight w:val="none"/>
        </w:rPr>
        <w:t>范围内白天至少巡检两次，夜间至少巡检一次。</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会务员（1人）</w:t>
      </w:r>
      <w:r>
        <w:rPr>
          <w:rFonts w:ascii="Times New Roman" w:hAnsi="Times New Roman"/>
          <w:bCs/>
          <w:color w:val="auto"/>
          <w:kern w:val="2"/>
          <w:sz w:val="21"/>
          <w:szCs w:val="21"/>
          <w:highlight w:val="none"/>
        </w:rPr>
        <w:t>：</w:t>
      </w:r>
    </w:p>
    <w:p>
      <w:pPr>
        <w:keepNext w:val="0"/>
        <w:keepLines w:val="0"/>
        <w:pageBreakBefore w:val="0"/>
        <w:widowControl w:val="0"/>
        <w:numPr>
          <w:ilvl w:val="0"/>
          <w:numId w:val="12"/>
        </w:numPr>
        <w:tabs>
          <w:tab w:val="left" w:pos="54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本项目须配置1名会务员，负责协助各部门做好各类会议、活动、接待的现场会务保障工作。</w:t>
      </w:r>
    </w:p>
    <w:p>
      <w:pPr>
        <w:keepNext w:val="0"/>
        <w:keepLines w:val="0"/>
        <w:pageBreakBefore w:val="0"/>
        <w:widowControl w:val="0"/>
        <w:numPr>
          <w:ilvl w:val="0"/>
          <w:numId w:val="12"/>
        </w:numPr>
        <w:tabs>
          <w:tab w:val="left" w:pos="54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工作要求：接到会议、活动、接待通知，须提前半个小时到会场做好各类会议、活动、接待准备工作，包括清洗茶具，端倒茶水，清洗摆放各类会议、活动所需的物品，并保持会前、会后的会议桌面、茶水台、茶杯、茶具干净整洁。</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清洁组（6人）：</w:t>
      </w:r>
    </w:p>
    <w:p>
      <w:pPr>
        <w:pStyle w:val="17"/>
        <w:keepNext w:val="0"/>
        <w:keepLines w:val="0"/>
        <w:pageBreakBefore w:val="0"/>
        <w:widowControl w:val="0"/>
        <w:kinsoku/>
        <w:wordWrap/>
        <w:overflowPunct/>
        <w:topLinePunct w:val="0"/>
        <w:autoSpaceDE/>
        <w:autoSpaceDN/>
        <w:bidi w:val="0"/>
        <w:adjustRightInd/>
        <w:spacing w:after="0" w:line="360" w:lineRule="auto"/>
        <w:ind w:firstLine="420" w:firstLineChars="200"/>
        <w:rPr>
          <w:rFonts w:hint="default"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1）</w:t>
      </w:r>
      <w:r>
        <w:rPr>
          <w:rFonts w:ascii="Times New Roman" w:hAnsi="Times New Roman" w:cs="Times New Roman"/>
          <w:bCs/>
          <w:color w:val="auto"/>
          <w:kern w:val="2"/>
          <w:sz w:val="21"/>
          <w:szCs w:val="21"/>
          <w:highlight w:val="none"/>
        </w:rPr>
        <w:t>边检站范围内所有楼层及所有公共场所的保洁，其中包括除个人宿舍外的所有办公室、会议室等功能库室。边检站共三栋楼，1号楼需配3个清洁员（含清洁领班1人）、2号楼需配1名清洁员、3号楼需配1名清洁员，操场车场等公共场所需配1名清洁人员，功能库室由清洁领班分配打扫。</w:t>
      </w:r>
    </w:p>
    <w:p>
      <w:pPr>
        <w:tabs>
          <w:tab w:val="left" w:pos="540"/>
        </w:tabs>
        <w:snapToGrid w:val="0"/>
        <w:spacing w:line="360" w:lineRule="auto"/>
        <w:ind w:firstLine="420" w:firstLineChars="200"/>
        <w:jc w:val="both"/>
        <w:textAlignment w:val="baseline"/>
        <w:rPr>
          <w:rFonts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2）工作要求：</w:t>
      </w:r>
      <w:r>
        <w:rPr>
          <w:rFonts w:ascii="Times New Roman" w:hAnsi="Times New Roman" w:eastAsia="宋体" w:cs="Times New Roman"/>
          <w:bCs/>
          <w:color w:val="auto"/>
          <w:kern w:val="2"/>
          <w:sz w:val="21"/>
          <w:szCs w:val="21"/>
          <w:highlight w:val="none"/>
          <w:lang w:val="en-US" w:eastAsia="zh-CN" w:bidi="ar-SA"/>
        </w:rPr>
        <w:t>办公室、公共场所等每天定时两次清洁（含地面、天花、墙面、窗、桌面、厕所、阳台等），功能库室每周至少打扫两次，库室使用前必须再打扫一次。</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餐饮</w:t>
      </w:r>
      <w:r>
        <w:rPr>
          <w:rFonts w:ascii="Times New Roman" w:hAnsi="Times New Roman"/>
          <w:bCs/>
          <w:color w:val="auto"/>
          <w:kern w:val="2"/>
          <w:sz w:val="21"/>
          <w:szCs w:val="21"/>
          <w:highlight w:val="none"/>
        </w:rPr>
        <w:t>组（6人）：</w:t>
      </w:r>
    </w:p>
    <w:p>
      <w:pPr>
        <w:pStyle w:val="17"/>
        <w:numPr>
          <w:ilvl w:val="0"/>
          <w:numId w:val="13"/>
        </w:numPr>
        <w:ind w:firstLine="420" w:firstLineChars="200"/>
        <w:rPr>
          <w:rFonts w:hint="eastAsia" w:ascii="Times New Roman" w:hAnsi="Times New Roman"/>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饭堂服务工作外包，其中边检站工作人员共120人。饭堂需为其工作人员提供一日三餐，需配备厨师长1人、厨师1人、面点师1人、厨房领班1人，厨工2人（其中一名为兼职人员）。</w:t>
      </w:r>
    </w:p>
    <w:p>
      <w:pPr>
        <w:pStyle w:val="17"/>
        <w:numPr>
          <w:ilvl w:val="0"/>
          <w:numId w:val="13"/>
        </w:numPr>
        <w:ind w:firstLine="420" w:firstLineChars="200"/>
        <w:rPr>
          <w:rFonts w:hint="eastAsia"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工作要求：包括但不限于</w:t>
      </w:r>
      <w:r>
        <w:rPr>
          <w:rFonts w:ascii="Times New Roman" w:hAnsi="Times New Roman"/>
          <w:bCs/>
          <w:color w:val="auto"/>
          <w:kern w:val="2"/>
          <w:sz w:val="21"/>
          <w:szCs w:val="21"/>
          <w:highlight w:val="none"/>
        </w:rPr>
        <w:t>餐前所有准备工作、分发饭菜、餐后的收拾工作</w:t>
      </w:r>
      <w:r>
        <w:rPr>
          <w:rFonts w:hint="eastAsia" w:ascii="Times New Roman" w:hAnsi="Times New Roman"/>
          <w:bCs/>
          <w:color w:val="auto"/>
          <w:kern w:val="2"/>
          <w:sz w:val="21"/>
          <w:szCs w:val="21"/>
          <w:highlight w:val="none"/>
          <w:lang w:eastAsia="zh-CN"/>
        </w:rPr>
        <w:t>。</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绿化员（1人）：</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本项目须</w:t>
      </w:r>
      <w:r>
        <w:rPr>
          <w:rFonts w:ascii="Times New Roman" w:hAnsi="Times New Roman"/>
          <w:bCs/>
          <w:color w:val="auto"/>
          <w:kern w:val="2"/>
          <w:sz w:val="21"/>
          <w:szCs w:val="21"/>
          <w:highlight w:val="none"/>
        </w:rPr>
        <w:t>配备1名兼职绿化管理员</w:t>
      </w:r>
      <w:r>
        <w:rPr>
          <w:rFonts w:hint="eastAsia" w:ascii="Times New Roman" w:hAnsi="Times New Roman"/>
          <w:bCs/>
          <w:color w:val="auto"/>
          <w:kern w:val="2"/>
          <w:sz w:val="21"/>
          <w:szCs w:val="21"/>
          <w:highlight w:val="none"/>
          <w:lang w:val="en-US" w:eastAsia="zh-CN"/>
        </w:rPr>
        <w:t>对</w:t>
      </w:r>
      <w:r>
        <w:rPr>
          <w:rFonts w:ascii="Times New Roman" w:hAnsi="Times New Roman"/>
          <w:bCs/>
          <w:color w:val="auto"/>
          <w:kern w:val="2"/>
          <w:sz w:val="21"/>
          <w:szCs w:val="21"/>
          <w:highlight w:val="none"/>
        </w:rPr>
        <w:t>站区内所有的绿化植物</w:t>
      </w:r>
      <w:r>
        <w:rPr>
          <w:rFonts w:hint="eastAsia" w:ascii="Times New Roman" w:hAnsi="Times New Roman"/>
          <w:bCs/>
          <w:color w:val="auto"/>
          <w:kern w:val="2"/>
          <w:sz w:val="21"/>
          <w:szCs w:val="21"/>
          <w:highlight w:val="none"/>
          <w:lang w:val="en-US" w:eastAsia="zh-CN"/>
        </w:rPr>
        <w:t>进行管理</w:t>
      </w:r>
      <w:r>
        <w:rPr>
          <w:rFonts w:ascii="Times New Roman" w:hAnsi="Times New Roman"/>
          <w:bCs/>
          <w:color w:val="auto"/>
          <w:kern w:val="2"/>
          <w:sz w:val="21"/>
          <w:szCs w:val="21"/>
          <w:highlight w:val="none"/>
        </w:rPr>
        <w:t>，包括乔木、灌木、花卉以及草皮等均需要浇水、除草、施肥等保养。</w:t>
      </w:r>
    </w:p>
    <w:p>
      <w:pPr>
        <w:numPr>
          <w:ilvl w:val="0"/>
          <w:numId w:val="11"/>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水电工（1人）：</w:t>
      </w:r>
    </w:p>
    <w:p>
      <w:pPr>
        <w:tabs>
          <w:tab w:val="left" w:pos="540"/>
        </w:tabs>
        <w:snapToGrid w:val="0"/>
        <w:spacing w:line="360" w:lineRule="auto"/>
        <w:ind w:firstLine="420" w:firstLineChars="200"/>
        <w:jc w:val="both"/>
        <w:textAlignment w:val="baseline"/>
        <w:rPr>
          <w:rFonts w:hint="eastAsia" w:ascii="Times New Roman" w:hAnsi="Times New Roman"/>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1）本项目须</w:t>
      </w:r>
      <w:r>
        <w:rPr>
          <w:rFonts w:ascii="Times New Roman" w:hAnsi="Times New Roman"/>
          <w:bCs/>
          <w:color w:val="auto"/>
          <w:kern w:val="2"/>
          <w:sz w:val="21"/>
          <w:szCs w:val="21"/>
          <w:highlight w:val="none"/>
        </w:rPr>
        <w:t>配备1名水电工</w:t>
      </w:r>
      <w:r>
        <w:rPr>
          <w:rFonts w:hint="eastAsia" w:ascii="Times New Roman" w:hAnsi="Times New Roman"/>
          <w:bCs/>
          <w:color w:val="auto"/>
          <w:kern w:val="2"/>
          <w:sz w:val="21"/>
          <w:szCs w:val="21"/>
          <w:highlight w:val="none"/>
          <w:lang w:val="en-US" w:eastAsia="zh-CN"/>
        </w:rPr>
        <w:t>提供</w:t>
      </w:r>
      <w:r>
        <w:rPr>
          <w:rFonts w:ascii="Times New Roman" w:hAnsi="Times New Roman"/>
          <w:bCs/>
          <w:color w:val="auto"/>
          <w:kern w:val="2"/>
          <w:sz w:val="21"/>
          <w:szCs w:val="21"/>
          <w:highlight w:val="none"/>
        </w:rPr>
        <w:t>专职驻点服务</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对</w:t>
      </w:r>
      <w:r>
        <w:rPr>
          <w:rFonts w:ascii="Times New Roman" w:hAnsi="Times New Roman"/>
          <w:bCs/>
          <w:color w:val="auto"/>
          <w:kern w:val="2"/>
          <w:sz w:val="21"/>
          <w:szCs w:val="21"/>
          <w:highlight w:val="none"/>
        </w:rPr>
        <w:t>站区内所有的水电</w:t>
      </w:r>
      <w:r>
        <w:rPr>
          <w:rFonts w:hint="eastAsia" w:ascii="Times New Roman" w:hAnsi="Times New Roman"/>
          <w:bCs/>
          <w:color w:val="auto"/>
          <w:kern w:val="2"/>
          <w:sz w:val="21"/>
          <w:szCs w:val="21"/>
          <w:highlight w:val="none"/>
          <w:lang w:val="en-US" w:eastAsia="zh-CN"/>
        </w:rPr>
        <w:t>进行维护管理。</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2）工作要求：</w:t>
      </w:r>
      <w:r>
        <w:rPr>
          <w:rFonts w:ascii="Times New Roman" w:hAnsi="Times New Roman"/>
          <w:bCs/>
          <w:color w:val="auto"/>
          <w:kern w:val="2"/>
          <w:sz w:val="21"/>
          <w:szCs w:val="21"/>
          <w:highlight w:val="none"/>
        </w:rPr>
        <w:t>水电工需要每天巡检站区内水电设施及站区设备1次</w:t>
      </w:r>
      <w:r>
        <w:rPr>
          <w:rFonts w:hint="eastAsia" w:ascii="Times New Roman" w:hAnsi="Times New Roman"/>
          <w:bCs/>
          <w:color w:val="auto"/>
          <w:kern w:val="2"/>
          <w:sz w:val="21"/>
          <w:szCs w:val="21"/>
          <w:highlight w:val="none"/>
          <w:lang w:eastAsia="zh-CN"/>
        </w:rPr>
        <w:t>，</w:t>
      </w:r>
      <w:r>
        <w:rPr>
          <w:rFonts w:ascii="Times New Roman" w:hAnsi="Times New Roman"/>
          <w:bCs/>
          <w:color w:val="auto"/>
          <w:kern w:val="2"/>
          <w:sz w:val="21"/>
          <w:szCs w:val="21"/>
          <w:highlight w:val="none"/>
        </w:rPr>
        <w:t>并对出现问题的及时处理维护，站区内有任何突发应急事故，水电工必须马上处理。</w:t>
      </w:r>
    </w:p>
    <w:p>
      <w:pPr>
        <w:numPr>
          <w:ilvl w:val="0"/>
          <w:numId w:val="11"/>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理发师（1人）：</w:t>
      </w:r>
    </w:p>
    <w:p>
      <w:pPr>
        <w:numPr>
          <w:ilvl w:val="0"/>
          <w:numId w:val="0"/>
        </w:num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本项目须配备</w:t>
      </w:r>
      <w:r>
        <w:rPr>
          <w:rFonts w:ascii="Times New Roman" w:hAnsi="Times New Roman"/>
          <w:bCs/>
          <w:color w:val="auto"/>
          <w:kern w:val="2"/>
          <w:sz w:val="21"/>
          <w:szCs w:val="21"/>
          <w:highlight w:val="none"/>
        </w:rPr>
        <w:t>1名兼职理发师</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为</w:t>
      </w:r>
      <w:r>
        <w:rPr>
          <w:rFonts w:ascii="Times New Roman" w:hAnsi="Times New Roman"/>
          <w:bCs/>
          <w:color w:val="auto"/>
          <w:kern w:val="2"/>
          <w:sz w:val="21"/>
          <w:szCs w:val="21"/>
          <w:highlight w:val="none"/>
        </w:rPr>
        <w:t>边检站120名工作人员</w:t>
      </w:r>
      <w:r>
        <w:rPr>
          <w:rFonts w:hint="eastAsia" w:ascii="Times New Roman" w:hAnsi="Times New Roman"/>
          <w:bCs/>
          <w:color w:val="auto"/>
          <w:kern w:val="2"/>
          <w:sz w:val="21"/>
          <w:szCs w:val="21"/>
          <w:highlight w:val="none"/>
          <w:lang w:val="en-US" w:eastAsia="zh-CN"/>
        </w:rPr>
        <w:t>提供定期理发服务，其中</w:t>
      </w:r>
      <w:r>
        <w:rPr>
          <w:rFonts w:ascii="Times New Roman" w:hAnsi="Times New Roman"/>
          <w:bCs/>
          <w:color w:val="auto"/>
          <w:kern w:val="2"/>
          <w:sz w:val="21"/>
          <w:szCs w:val="21"/>
          <w:highlight w:val="none"/>
        </w:rPr>
        <w:t>男女比例</w:t>
      </w:r>
      <w:r>
        <w:rPr>
          <w:rFonts w:hint="eastAsia" w:ascii="Times New Roman" w:hAnsi="Times New Roman"/>
          <w:bCs/>
          <w:color w:val="auto"/>
          <w:kern w:val="2"/>
          <w:sz w:val="21"/>
          <w:szCs w:val="21"/>
          <w:highlight w:val="none"/>
          <w:lang w:val="en-US" w:eastAsia="zh-CN"/>
        </w:rPr>
        <w:t>按</w:t>
      </w:r>
      <w:r>
        <w:rPr>
          <w:rFonts w:ascii="Times New Roman" w:hAnsi="Times New Roman"/>
          <w:bCs/>
          <w:color w:val="auto"/>
          <w:kern w:val="2"/>
          <w:sz w:val="21"/>
          <w:szCs w:val="21"/>
          <w:highlight w:val="none"/>
        </w:rPr>
        <w:t>7:3计算</w:t>
      </w:r>
      <w:r>
        <w:rPr>
          <w:rFonts w:hint="eastAsia" w:ascii="Times New Roman" w:hAnsi="Times New Roman"/>
          <w:bCs/>
          <w:color w:val="auto"/>
          <w:kern w:val="2"/>
          <w:sz w:val="21"/>
          <w:szCs w:val="21"/>
          <w:highlight w:val="none"/>
          <w:lang w:eastAsia="zh-CN"/>
        </w:rPr>
        <w:t>。</w:t>
      </w:r>
      <w:r>
        <w:rPr>
          <w:rFonts w:ascii="Times New Roman" w:hAnsi="Times New Roman"/>
          <w:bCs/>
          <w:color w:val="auto"/>
          <w:kern w:val="2"/>
          <w:sz w:val="21"/>
          <w:szCs w:val="21"/>
          <w:highlight w:val="none"/>
        </w:rPr>
        <w:t>男生需定期每月理发一次至两次，理发师需要每个星期要有一天时间驻点提供理发服务。</w:t>
      </w:r>
    </w:p>
    <w:p>
      <w:pPr>
        <w:pStyle w:val="17"/>
        <w:rPr>
          <w:color w:val="auto"/>
          <w:sz w:val="21"/>
          <w:szCs w:val="21"/>
          <w:highlight w:val="none"/>
        </w:rPr>
      </w:pPr>
    </w:p>
    <w:p>
      <w:pPr>
        <w:keepNext w:val="0"/>
        <w:keepLines w:val="0"/>
        <w:pageBreakBefore w:val="0"/>
        <w:widowControl w:val="0"/>
        <w:numPr>
          <w:ilvl w:val="0"/>
          <w:numId w:val="10"/>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人员素质要求</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1、项目经理：具有本科或以上学历，</w:t>
      </w:r>
      <w:r>
        <w:rPr>
          <w:rFonts w:hint="eastAsia" w:ascii="Times New Roman" w:hAnsi="Times New Roman"/>
          <w:bCs/>
          <w:color w:val="auto"/>
          <w:kern w:val="2"/>
          <w:sz w:val="21"/>
          <w:szCs w:val="21"/>
          <w:highlight w:val="none"/>
          <w:lang w:val="en-US" w:eastAsia="zh-CN"/>
        </w:rPr>
        <w:t>中级或以上职称，具有</w:t>
      </w:r>
      <w:r>
        <w:rPr>
          <w:rFonts w:ascii="Times New Roman" w:hAnsi="Times New Roman"/>
          <w:bCs/>
          <w:color w:val="auto"/>
          <w:kern w:val="2"/>
          <w:szCs w:val="21"/>
          <w:highlight w:val="none"/>
        </w:rPr>
        <w:t>五年以上</w:t>
      </w:r>
      <w:r>
        <w:rPr>
          <w:rFonts w:ascii="Times New Roman" w:hAnsi="Times New Roman"/>
          <w:bCs/>
          <w:color w:val="auto"/>
          <w:kern w:val="2"/>
          <w:sz w:val="21"/>
          <w:szCs w:val="21"/>
          <w:highlight w:val="none"/>
        </w:rPr>
        <w:t>物业管理</w:t>
      </w:r>
      <w:r>
        <w:rPr>
          <w:rFonts w:hint="eastAsia" w:ascii="Times New Roman" w:hAnsi="Times New Roman"/>
          <w:bCs/>
          <w:color w:val="auto"/>
          <w:kern w:val="2"/>
          <w:sz w:val="21"/>
          <w:szCs w:val="21"/>
          <w:highlight w:val="none"/>
          <w:lang w:val="en-US" w:eastAsia="zh-CN"/>
        </w:rPr>
        <w:t>服务</w:t>
      </w:r>
      <w:r>
        <w:rPr>
          <w:rFonts w:ascii="Times New Roman" w:hAnsi="Times New Roman"/>
          <w:bCs/>
          <w:color w:val="auto"/>
          <w:kern w:val="2"/>
          <w:sz w:val="21"/>
          <w:szCs w:val="21"/>
          <w:highlight w:val="none"/>
        </w:rPr>
        <w:t>经验，主要负责本项目总体管理、协调、应急响应工作，对本项目因管理责任造成重大劳资纠纷、安全管理事故及顾客投诉事件有重大决策权。</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2、保安领班：年龄45岁以下，退伍军人优先，身体健康，高中</w:t>
      </w:r>
      <w:r>
        <w:rPr>
          <w:rFonts w:hint="eastAsia" w:ascii="Times New Roman" w:hAnsi="Times New Roman"/>
          <w:bCs/>
          <w:color w:val="auto"/>
          <w:kern w:val="2"/>
          <w:sz w:val="21"/>
          <w:szCs w:val="21"/>
          <w:highlight w:val="none"/>
          <w:lang w:val="en-US" w:eastAsia="zh-CN"/>
        </w:rPr>
        <w:t>或</w:t>
      </w:r>
      <w:r>
        <w:rPr>
          <w:rFonts w:ascii="Times New Roman" w:hAnsi="Times New Roman"/>
          <w:bCs/>
          <w:color w:val="auto"/>
          <w:kern w:val="2"/>
          <w:sz w:val="21"/>
          <w:szCs w:val="21"/>
          <w:highlight w:val="none"/>
        </w:rPr>
        <w:t>以上学历，政历清楚，遵守国家的法律、法规和采购人的各项规章制度要求，</w:t>
      </w:r>
      <w:r>
        <w:rPr>
          <w:rFonts w:ascii="Times New Roman" w:hAnsi="Times New Roman"/>
          <w:bCs/>
          <w:color w:val="auto"/>
          <w:kern w:val="2"/>
          <w:szCs w:val="21"/>
          <w:highlight w:val="none"/>
        </w:rPr>
        <w:t>严守工作秘密；有三年或以上</w:t>
      </w:r>
      <w:r>
        <w:rPr>
          <w:rFonts w:hint="eastAsia" w:ascii="Times New Roman" w:hAnsi="Times New Roman"/>
          <w:bCs/>
          <w:color w:val="auto"/>
          <w:kern w:val="2"/>
          <w:szCs w:val="21"/>
          <w:highlight w:val="none"/>
        </w:rPr>
        <w:t>保安管理</w:t>
      </w:r>
      <w:r>
        <w:rPr>
          <w:rFonts w:ascii="Times New Roman" w:hAnsi="Times New Roman"/>
          <w:bCs/>
          <w:color w:val="auto"/>
          <w:kern w:val="2"/>
          <w:szCs w:val="21"/>
          <w:highlight w:val="none"/>
        </w:rPr>
        <w:t>工作经验</w:t>
      </w:r>
      <w:r>
        <w:rPr>
          <w:rFonts w:ascii="Times New Roman" w:hAnsi="Times New Roman"/>
          <w:bCs/>
          <w:color w:val="auto"/>
          <w:kern w:val="2"/>
          <w:sz w:val="21"/>
          <w:szCs w:val="21"/>
          <w:highlight w:val="none"/>
        </w:rPr>
        <w:t>，政治素质过硬，有较强的组织部门管理及沟通能力</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需根据采购人要求对特种设备（含电梯）进行巡检等工作。</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3、保安员：男，年龄40岁以下，1.70米或以上，初中或以上文化，持保安证上岗，退伍军人优先，身体健康，体形适中，形象好，遵守国家的法律、法规采购人的各项规章制度要求，严守工作秘密；</w:t>
      </w:r>
      <w:r>
        <w:rPr>
          <w:rFonts w:ascii="Times New Roman" w:hAnsi="Times New Roman"/>
          <w:bCs/>
          <w:color w:val="auto"/>
          <w:kern w:val="2"/>
          <w:szCs w:val="21"/>
          <w:highlight w:val="none"/>
        </w:rPr>
        <w:t>具有一年或以上相关工作经验或</w:t>
      </w:r>
      <w:r>
        <w:rPr>
          <w:rFonts w:ascii="Times New Roman" w:hAnsi="Times New Roman"/>
          <w:bCs/>
          <w:color w:val="auto"/>
          <w:kern w:val="2"/>
          <w:sz w:val="21"/>
          <w:szCs w:val="21"/>
          <w:highlight w:val="none"/>
        </w:rPr>
        <w:t>经培训合格</w:t>
      </w:r>
      <w:r>
        <w:rPr>
          <w:rFonts w:hint="eastAsia" w:ascii="Times New Roman" w:hAnsi="Times New Roman"/>
          <w:bCs/>
          <w:color w:val="auto"/>
          <w:kern w:val="2"/>
          <w:sz w:val="21"/>
          <w:szCs w:val="21"/>
          <w:highlight w:val="none"/>
          <w:lang w:val="en-US" w:eastAsia="zh-CN"/>
        </w:rPr>
        <w:t>后上岗</w:t>
      </w:r>
      <w:r>
        <w:rPr>
          <w:rFonts w:ascii="Times New Roman" w:hAnsi="Times New Roman"/>
          <w:bCs/>
          <w:color w:val="auto"/>
          <w:kern w:val="2"/>
          <w:sz w:val="21"/>
          <w:szCs w:val="21"/>
          <w:highlight w:val="none"/>
        </w:rPr>
        <w:t>。</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4、会务员：女，年龄35岁以下，高中或以上文化，形象好，气质佳，沟通能力强，</w:t>
      </w:r>
      <w:r>
        <w:rPr>
          <w:rFonts w:hint="eastAsia" w:ascii="Times New Roman" w:hAnsi="Times New Roman"/>
          <w:bCs/>
          <w:color w:val="auto"/>
          <w:kern w:val="2"/>
          <w:sz w:val="21"/>
          <w:szCs w:val="21"/>
          <w:highlight w:val="none"/>
          <w:lang w:val="en-US" w:eastAsia="zh-CN"/>
        </w:rPr>
        <w:t>有相关</w:t>
      </w:r>
      <w:r>
        <w:rPr>
          <w:rFonts w:ascii="Times New Roman" w:hAnsi="Times New Roman"/>
          <w:bCs/>
          <w:color w:val="auto"/>
          <w:kern w:val="2"/>
          <w:sz w:val="21"/>
          <w:szCs w:val="21"/>
          <w:highlight w:val="none"/>
        </w:rPr>
        <w:t>会务工作经验。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5、保洁领班：女，45岁以下，形象好，有</w:t>
      </w:r>
      <w:r>
        <w:rPr>
          <w:rFonts w:hint="eastAsia" w:ascii="Times New Roman" w:hAnsi="Times New Roman"/>
          <w:bCs/>
          <w:color w:val="auto"/>
          <w:kern w:val="2"/>
          <w:sz w:val="21"/>
          <w:szCs w:val="21"/>
          <w:highlight w:val="none"/>
          <w:lang w:val="en-US" w:eastAsia="zh-CN"/>
        </w:rPr>
        <w:t>丰富的相关</w:t>
      </w:r>
      <w:r>
        <w:rPr>
          <w:rFonts w:ascii="Times New Roman" w:hAnsi="Times New Roman"/>
          <w:bCs/>
          <w:color w:val="auto"/>
          <w:kern w:val="2"/>
          <w:sz w:val="21"/>
          <w:szCs w:val="21"/>
          <w:highlight w:val="none"/>
        </w:rPr>
        <w:t>服务管理工作经验，有较强的组织能力。</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6、保洁员：女，50岁以下，形象好，有清洁服务工作经验。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7、厨师</w:t>
      </w:r>
      <w:r>
        <w:rPr>
          <w:rFonts w:hint="eastAsia" w:ascii="Times New Roman" w:hAnsi="Times New Roman"/>
          <w:bCs/>
          <w:color w:val="auto"/>
          <w:kern w:val="2"/>
          <w:sz w:val="21"/>
          <w:szCs w:val="21"/>
          <w:highlight w:val="none"/>
          <w:lang w:val="en-US" w:eastAsia="zh-CN"/>
        </w:rPr>
        <w:t>长或厨师</w:t>
      </w:r>
      <w:r>
        <w:rPr>
          <w:rFonts w:ascii="Times New Roman" w:hAnsi="Times New Roman"/>
          <w:bCs/>
          <w:color w:val="auto"/>
          <w:kern w:val="2"/>
          <w:sz w:val="21"/>
          <w:szCs w:val="21"/>
          <w:highlight w:val="none"/>
        </w:rPr>
        <w:t>：男，50岁以下，身体健康，初中</w:t>
      </w:r>
      <w:r>
        <w:rPr>
          <w:rFonts w:hint="eastAsia" w:ascii="Times New Roman" w:hAnsi="Times New Roman"/>
          <w:bCs/>
          <w:color w:val="auto"/>
          <w:kern w:val="2"/>
          <w:sz w:val="21"/>
          <w:szCs w:val="21"/>
          <w:highlight w:val="none"/>
          <w:lang w:val="en-US" w:eastAsia="zh-CN"/>
        </w:rPr>
        <w:t>或以上学历</w:t>
      </w:r>
      <w:r>
        <w:rPr>
          <w:rFonts w:ascii="Times New Roman" w:hAnsi="Times New Roman"/>
          <w:bCs/>
          <w:color w:val="auto"/>
          <w:kern w:val="2"/>
          <w:sz w:val="21"/>
          <w:szCs w:val="21"/>
          <w:highlight w:val="none"/>
        </w:rPr>
        <w:t>，持有中式烹调师证，有多年餐饮工作经验。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8、厨工：50岁以下，身体健康，初中</w:t>
      </w:r>
      <w:r>
        <w:rPr>
          <w:rFonts w:hint="eastAsia" w:ascii="Times New Roman" w:hAnsi="Times New Roman"/>
          <w:bCs/>
          <w:color w:val="auto"/>
          <w:kern w:val="2"/>
          <w:sz w:val="21"/>
          <w:szCs w:val="21"/>
          <w:highlight w:val="none"/>
          <w:lang w:val="en-US" w:eastAsia="zh-CN"/>
        </w:rPr>
        <w:t>或以上学历</w:t>
      </w:r>
      <w:r>
        <w:rPr>
          <w:rFonts w:ascii="Times New Roman" w:hAnsi="Times New Roman"/>
          <w:bCs/>
          <w:color w:val="auto"/>
          <w:kern w:val="2"/>
          <w:sz w:val="21"/>
          <w:szCs w:val="21"/>
          <w:highlight w:val="none"/>
        </w:rPr>
        <w:t>，能吃苦耐劳，有厨房工作经验。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9、面点师：50岁以下，身体健康，初中</w:t>
      </w:r>
      <w:r>
        <w:rPr>
          <w:rFonts w:hint="eastAsia" w:ascii="Times New Roman" w:hAnsi="Times New Roman"/>
          <w:bCs/>
          <w:color w:val="auto"/>
          <w:kern w:val="2"/>
          <w:sz w:val="21"/>
          <w:szCs w:val="21"/>
          <w:highlight w:val="none"/>
          <w:lang w:val="en-US" w:eastAsia="zh-CN"/>
        </w:rPr>
        <w:t>或以上学历</w:t>
      </w:r>
      <w:r>
        <w:rPr>
          <w:rFonts w:ascii="Times New Roman" w:hAnsi="Times New Roman"/>
          <w:bCs/>
          <w:color w:val="auto"/>
          <w:kern w:val="2"/>
          <w:sz w:val="21"/>
          <w:szCs w:val="21"/>
          <w:highlight w:val="none"/>
        </w:rPr>
        <w:t>，持中式面点师或西式面点师证书，有相关工作经验，会制作各种糕点，面食，包括馅心制作、膨松面品制作、水调面品制作、层酥面品制作。</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10、</w:t>
      </w:r>
      <w:r>
        <w:rPr>
          <w:rFonts w:hint="eastAsia" w:ascii="Times New Roman" w:hAnsi="Times New Roman"/>
          <w:bCs/>
          <w:color w:val="auto"/>
          <w:kern w:val="2"/>
          <w:sz w:val="21"/>
          <w:szCs w:val="21"/>
          <w:highlight w:val="none"/>
          <w:lang w:val="en-US" w:eastAsia="zh-CN"/>
        </w:rPr>
        <w:t>水</w:t>
      </w:r>
      <w:r>
        <w:rPr>
          <w:rFonts w:ascii="Times New Roman" w:hAnsi="Times New Roman"/>
          <w:bCs/>
          <w:color w:val="auto"/>
          <w:kern w:val="2"/>
          <w:sz w:val="21"/>
          <w:szCs w:val="21"/>
          <w:highlight w:val="none"/>
        </w:rPr>
        <w:t>电工：男，年龄50岁以下，身体健康，</w:t>
      </w:r>
      <w:r>
        <w:rPr>
          <w:rFonts w:hint="eastAsia" w:ascii="Times New Roman" w:hAnsi="Times New Roman"/>
          <w:b/>
          <w:bCs w:val="0"/>
          <w:color w:val="auto"/>
          <w:kern w:val="2"/>
          <w:sz w:val="21"/>
          <w:szCs w:val="21"/>
          <w:highlight w:val="none"/>
        </w:rPr>
        <w:t>持电工职业资格证书上岗</w:t>
      </w:r>
      <w:r>
        <w:rPr>
          <w:rFonts w:hint="eastAsia"/>
          <w:bCs/>
          <w:color w:val="auto"/>
          <w:kern w:val="2"/>
          <w:sz w:val="21"/>
          <w:szCs w:val="21"/>
          <w:highlight w:val="none"/>
          <w:lang w:eastAsia="zh-CN"/>
        </w:rPr>
        <w:t>，</w:t>
      </w:r>
      <w:r>
        <w:rPr>
          <w:rFonts w:ascii="Times New Roman" w:hAnsi="Times New Roman"/>
          <w:bCs/>
          <w:color w:val="auto"/>
          <w:kern w:val="2"/>
          <w:szCs w:val="21"/>
          <w:highlight w:val="none"/>
        </w:rPr>
        <w:t>有两年以上电工工作经验</w:t>
      </w:r>
      <w:r>
        <w:rPr>
          <w:rFonts w:hint="eastAsia"/>
          <w:bCs/>
          <w:color w:val="auto"/>
          <w:kern w:val="2"/>
          <w:szCs w:val="21"/>
          <w:highlight w:val="none"/>
          <w:lang w:eastAsia="zh-CN"/>
        </w:rPr>
        <w:t>。</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11、理发师：男，年龄40岁以下，身体健康，理发技术好、服务态度佳，具有技术总监</w:t>
      </w:r>
      <w:r>
        <w:rPr>
          <w:rFonts w:hint="eastAsia" w:ascii="Times New Roman" w:hAnsi="Times New Roman"/>
          <w:bCs/>
          <w:color w:val="auto"/>
          <w:kern w:val="2"/>
          <w:sz w:val="21"/>
          <w:szCs w:val="21"/>
          <w:highlight w:val="none"/>
          <w:lang w:val="en-US" w:eastAsia="zh-CN"/>
        </w:rPr>
        <w:t>头衔</w:t>
      </w:r>
      <w:r>
        <w:rPr>
          <w:rFonts w:ascii="Times New Roman" w:hAnsi="Times New Roman"/>
          <w:bCs/>
          <w:color w:val="auto"/>
          <w:kern w:val="2"/>
          <w:sz w:val="21"/>
          <w:szCs w:val="21"/>
          <w:highlight w:val="none"/>
        </w:rPr>
        <w:t>。</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注：以上人员采购人只提供员工上班时间的工作餐，员工的住宿由</w:t>
      </w:r>
      <w:r>
        <w:rPr>
          <w:rFonts w:hint="eastAsia" w:ascii="Times New Roman" w:hAnsi="Times New Roman"/>
          <w:bCs/>
          <w:color w:val="auto"/>
          <w:kern w:val="2"/>
          <w:sz w:val="21"/>
          <w:szCs w:val="21"/>
          <w:highlight w:val="none"/>
          <w:lang w:val="en-US" w:eastAsia="zh-CN"/>
        </w:rPr>
        <w:t>中标人负责</w:t>
      </w:r>
      <w:r>
        <w:rPr>
          <w:rFonts w:ascii="Times New Roman" w:hAnsi="Times New Roman"/>
          <w:bCs/>
          <w:color w:val="auto"/>
          <w:kern w:val="2"/>
          <w:sz w:val="21"/>
          <w:szCs w:val="21"/>
          <w:highlight w:val="none"/>
        </w:rPr>
        <w:t>提供</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费用已包含在月度物业管理服务费中，采购人不另行支付</w:t>
      </w:r>
      <w:r>
        <w:rPr>
          <w:rFonts w:ascii="Times New Roman" w:hAnsi="Times New Roman"/>
          <w:bCs/>
          <w:color w:val="auto"/>
          <w:kern w:val="2"/>
          <w:sz w:val="21"/>
          <w:szCs w:val="21"/>
          <w:highlight w:val="none"/>
        </w:rPr>
        <w:t>。</w:t>
      </w:r>
    </w:p>
    <w:p>
      <w:pPr>
        <w:pStyle w:val="17"/>
        <w:rPr>
          <w:color w:val="auto"/>
          <w:highlight w:val="none"/>
        </w:rPr>
      </w:pPr>
    </w:p>
    <w:p>
      <w:pPr>
        <w:keepNext w:val="0"/>
        <w:keepLines w:val="0"/>
        <w:pageBreakBefore w:val="0"/>
        <w:widowControl w:val="0"/>
        <w:numPr>
          <w:ilvl w:val="0"/>
          <w:numId w:val="10"/>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人员着装要求</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本项目服务人员工作期间需</w:t>
      </w:r>
      <w:r>
        <w:rPr>
          <w:rFonts w:ascii="Times New Roman" w:hAnsi="Times New Roman"/>
          <w:bCs/>
          <w:color w:val="auto"/>
          <w:kern w:val="2"/>
          <w:sz w:val="21"/>
          <w:szCs w:val="21"/>
          <w:highlight w:val="none"/>
        </w:rPr>
        <w:t>统一服装，统一标志，</w:t>
      </w:r>
      <w:r>
        <w:rPr>
          <w:rFonts w:hint="eastAsia" w:ascii="Times New Roman" w:hAnsi="Times New Roman"/>
          <w:bCs/>
          <w:color w:val="auto"/>
          <w:kern w:val="2"/>
          <w:sz w:val="21"/>
          <w:szCs w:val="21"/>
          <w:highlight w:val="none"/>
        </w:rPr>
        <w:t>保</w:t>
      </w:r>
      <w:r>
        <w:rPr>
          <w:rFonts w:ascii="Times New Roman" w:hAnsi="Times New Roman"/>
          <w:bCs/>
          <w:color w:val="auto"/>
          <w:kern w:val="2"/>
          <w:sz w:val="21"/>
          <w:szCs w:val="21"/>
          <w:highlight w:val="none"/>
        </w:rPr>
        <w:t>持衣服整洁、卫生、合身</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具体</w:t>
      </w:r>
      <w:r>
        <w:rPr>
          <w:rFonts w:hint="eastAsia" w:ascii="Times New Roman" w:hAnsi="Times New Roman"/>
          <w:bCs/>
          <w:color w:val="auto"/>
          <w:kern w:val="2"/>
          <w:sz w:val="21"/>
          <w:szCs w:val="21"/>
          <w:highlight w:val="none"/>
          <w:lang w:eastAsia="zh-CN"/>
        </w:rPr>
        <w:t>着装</w:t>
      </w:r>
      <w:r>
        <w:rPr>
          <w:rFonts w:ascii="Times New Roman" w:hAnsi="Times New Roman"/>
          <w:bCs/>
          <w:color w:val="auto"/>
          <w:kern w:val="2"/>
          <w:sz w:val="21"/>
          <w:szCs w:val="21"/>
          <w:highlight w:val="none"/>
        </w:rPr>
        <w:t>要求如下：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535"/>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序号</w:t>
            </w:r>
          </w:p>
        </w:tc>
        <w:tc>
          <w:tcPr>
            <w:tcW w:w="3535" w:type="dxa"/>
          </w:tcPr>
          <w:p>
            <w:pPr>
              <w:pStyle w:val="17"/>
              <w:jc w:val="center"/>
              <w:rPr>
                <w:rFonts w:hint="default"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类别</w:t>
            </w:r>
          </w:p>
        </w:tc>
        <w:tc>
          <w:tcPr>
            <w:tcW w:w="2322" w:type="dxa"/>
          </w:tcPr>
          <w:p>
            <w:pPr>
              <w:pStyle w:val="17"/>
              <w:jc w:val="center"/>
              <w:rPr>
                <w:rFonts w:hint="eastAsia"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数量</w:t>
            </w:r>
          </w:p>
        </w:tc>
        <w:tc>
          <w:tcPr>
            <w:tcW w:w="2322" w:type="dxa"/>
          </w:tcPr>
          <w:p>
            <w:pPr>
              <w:pStyle w:val="17"/>
              <w:jc w:val="center"/>
              <w:rPr>
                <w:rFonts w:hint="eastAsia"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w:t>
            </w:r>
          </w:p>
        </w:tc>
        <w:tc>
          <w:tcPr>
            <w:tcW w:w="3535" w:type="dxa"/>
            <w:vAlign w:val="center"/>
          </w:tcPr>
          <w:p>
            <w:pPr>
              <w:snapToGrid w:val="0"/>
              <w:spacing w:line="360" w:lineRule="auto"/>
              <w:jc w:val="center"/>
              <w:textAlignment w:val="center"/>
              <w:rPr>
                <w:rFonts w:hint="default" w:ascii="Times New Roman" w:hAnsi="Times New Roman" w:eastAsia="宋体"/>
                <w:bCs/>
                <w:color w:val="auto"/>
                <w:kern w:val="2"/>
                <w:sz w:val="21"/>
                <w:szCs w:val="21"/>
                <w:highlight w:val="none"/>
                <w:vertAlign w:val="baseline"/>
                <w:lang w:val="en-US" w:eastAsia="zh-CN"/>
              </w:rPr>
            </w:pPr>
            <w:r>
              <w:rPr>
                <w:rFonts w:ascii="Times New Roman" w:hAnsi="Times New Roman"/>
                <w:color w:val="auto"/>
                <w:sz w:val="21"/>
                <w:szCs w:val="21"/>
                <w:highlight w:val="none"/>
              </w:rPr>
              <w:t>项目经理冬装</w:t>
            </w:r>
          </w:p>
        </w:tc>
        <w:tc>
          <w:tcPr>
            <w:tcW w:w="2322" w:type="dxa"/>
          </w:tcPr>
          <w:p>
            <w:pPr>
              <w:jc w:val="center"/>
              <w:rPr>
                <w:rFonts w:hint="default" w:ascii="Times New Roman" w:hAnsi="Times New Roman" w:eastAsia="宋体"/>
                <w:bCs/>
                <w:color w:val="auto"/>
                <w:kern w:val="2"/>
                <w:sz w:val="21"/>
                <w:szCs w:val="21"/>
                <w:highlight w:val="none"/>
                <w:vertAlign w:val="baseline"/>
                <w:lang w:val="en-US" w:eastAsia="zh-CN"/>
              </w:rPr>
            </w:pPr>
            <w:r>
              <w:rPr>
                <w:rFonts w:ascii="Times New Roman" w:hAnsi="Times New Roman"/>
                <w:color w:val="auto"/>
                <w:sz w:val="21"/>
                <w:szCs w:val="21"/>
                <w:highlight w:val="none"/>
              </w:rPr>
              <w:t>2套</w:t>
            </w:r>
          </w:p>
        </w:tc>
        <w:tc>
          <w:tcPr>
            <w:tcW w:w="2322" w:type="dxa"/>
            <w:vMerge w:val="restart"/>
            <w:vAlign w:val="center"/>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default" w:ascii="Times New Roman" w:hAnsi="Times New Roman" w:eastAsia="宋体"/>
                <w:bCs/>
                <w:color w:val="auto"/>
                <w:kern w:val="2"/>
                <w:sz w:val="21"/>
                <w:szCs w:val="21"/>
                <w:highlight w:val="none"/>
                <w:vertAlign w:val="baseline"/>
                <w:lang w:val="en-US" w:eastAsia="zh-CN"/>
              </w:rPr>
              <w:t>冬装</w:t>
            </w:r>
            <w:r>
              <w:rPr>
                <w:rFonts w:hint="eastAsia" w:ascii="Times New Roman" w:hAnsi="Times New Roman"/>
                <w:bCs/>
                <w:color w:val="auto"/>
                <w:kern w:val="2"/>
                <w:sz w:val="21"/>
                <w:szCs w:val="21"/>
                <w:highlight w:val="none"/>
                <w:vertAlign w:val="baseline"/>
                <w:lang w:val="en-US" w:eastAsia="zh-CN"/>
              </w:rPr>
              <w:t>每人各</w:t>
            </w:r>
            <w:r>
              <w:rPr>
                <w:rFonts w:hint="default" w:ascii="Times New Roman" w:hAnsi="Times New Roman" w:eastAsia="宋体"/>
                <w:bCs/>
                <w:color w:val="auto"/>
                <w:kern w:val="2"/>
                <w:sz w:val="21"/>
                <w:szCs w:val="21"/>
                <w:highlight w:val="none"/>
                <w:vertAlign w:val="baseline"/>
                <w:lang w:val="en-US" w:eastAsia="zh-CN"/>
              </w:rPr>
              <w:t>两套</w:t>
            </w:r>
          </w:p>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default" w:ascii="Times New Roman" w:hAnsi="Times New Roman" w:eastAsia="宋体"/>
                <w:bCs/>
                <w:color w:val="auto"/>
                <w:kern w:val="2"/>
                <w:sz w:val="21"/>
                <w:szCs w:val="21"/>
                <w:highlight w:val="none"/>
                <w:vertAlign w:val="baseline"/>
                <w:lang w:val="en-US" w:eastAsia="zh-CN"/>
              </w:rPr>
              <w:t>夏装</w:t>
            </w:r>
            <w:r>
              <w:rPr>
                <w:rFonts w:hint="eastAsia" w:ascii="Times New Roman" w:hAnsi="Times New Roman"/>
                <w:bCs/>
                <w:color w:val="auto"/>
                <w:kern w:val="2"/>
                <w:sz w:val="21"/>
                <w:szCs w:val="21"/>
                <w:highlight w:val="none"/>
                <w:vertAlign w:val="baseline"/>
                <w:lang w:val="en-US" w:eastAsia="zh-CN"/>
              </w:rPr>
              <w:t>每人各</w:t>
            </w:r>
            <w:r>
              <w:rPr>
                <w:rFonts w:hint="default" w:ascii="Times New Roman" w:hAnsi="Times New Roman" w:eastAsia="宋体"/>
                <w:bCs/>
                <w:color w:val="auto"/>
                <w:kern w:val="2"/>
                <w:sz w:val="21"/>
                <w:szCs w:val="21"/>
                <w:highlight w:val="none"/>
                <w:vertAlign w:val="baseline"/>
                <w:lang w:val="en-US" w:eastAsia="zh-CN"/>
              </w:rPr>
              <w:t>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2</w:t>
            </w:r>
          </w:p>
        </w:tc>
        <w:tc>
          <w:tcPr>
            <w:tcW w:w="3535" w:type="dxa"/>
            <w:vAlign w:val="center"/>
          </w:tcPr>
          <w:p>
            <w:pPr>
              <w:snapToGrid w:val="0"/>
              <w:spacing w:line="360" w:lineRule="auto"/>
              <w:jc w:val="center"/>
              <w:textAlignment w:val="center"/>
              <w:rPr>
                <w:rFonts w:hint="default" w:ascii="Times New Roman" w:hAnsi="Times New Roman" w:eastAsia="宋体"/>
                <w:bCs/>
                <w:color w:val="auto"/>
                <w:kern w:val="2"/>
                <w:sz w:val="21"/>
                <w:szCs w:val="21"/>
                <w:highlight w:val="none"/>
                <w:vertAlign w:val="baseline"/>
                <w:lang w:val="en-US" w:eastAsia="zh-CN"/>
              </w:rPr>
            </w:pPr>
            <w:r>
              <w:rPr>
                <w:rFonts w:ascii="Times New Roman" w:hAnsi="Times New Roman"/>
                <w:color w:val="auto"/>
                <w:sz w:val="21"/>
                <w:szCs w:val="21"/>
                <w:highlight w:val="none"/>
              </w:rPr>
              <w:t>项目经理夏装</w:t>
            </w:r>
          </w:p>
        </w:tc>
        <w:tc>
          <w:tcPr>
            <w:tcW w:w="2322" w:type="dxa"/>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3</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rPr>
              <w:t>保安组</w:t>
            </w:r>
            <w:r>
              <w:rPr>
                <w:rFonts w:ascii="Times New Roman" w:hAnsi="Times New Roman"/>
                <w:color w:val="auto"/>
                <w:sz w:val="21"/>
                <w:szCs w:val="21"/>
                <w:highlight w:val="none"/>
              </w:rPr>
              <w:t>冬装</w:t>
            </w:r>
          </w:p>
        </w:tc>
        <w:tc>
          <w:tcPr>
            <w:tcW w:w="2322" w:type="dxa"/>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16套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4</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rPr>
              <w:t>保安组</w:t>
            </w:r>
            <w:r>
              <w:rPr>
                <w:rFonts w:hint="eastAsia" w:ascii="Times New Roman" w:hAnsi="Times New Roman"/>
                <w:color w:val="auto"/>
                <w:sz w:val="21"/>
                <w:szCs w:val="21"/>
                <w:highlight w:val="none"/>
                <w:lang w:val="en-US" w:eastAsia="zh-CN"/>
              </w:rPr>
              <w:t>夏</w:t>
            </w:r>
            <w:r>
              <w:rPr>
                <w:rFonts w:ascii="Times New Roman" w:hAnsi="Times New Roman"/>
                <w:color w:val="auto"/>
                <w:sz w:val="21"/>
                <w:szCs w:val="21"/>
                <w:highlight w:val="none"/>
              </w:rPr>
              <w:t>装</w:t>
            </w:r>
          </w:p>
        </w:tc>
        <w:tc>
          <w:tcPr>
            <w:tcW w:w="2322"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lang w:val="en-US" w:eastAsia="zh-CN"/>
              </w:rPr>
              <w:t>16套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5</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lang w:val="en-US" w:eastAsia="zh-CN"/>
              </w:rPr>
              <w:t>会务员</w:t>
            </w:r>
            <w:r>
              <w:rPr>
                <w:rFonts w:ascii="Times New Roman" w:hAnsi="Times New Roman"/>
                <w:color w:val="auto"/>
                <w:sz w:val="21"/>
                <w:szCs w:val="21"/>
                <w:highlight w:val="none"/>
              </w:rPr>
              <w:t>冬装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6</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lang w:val="en-US" w:eastAsia="zh-CN"/>
              </w:rPr>
              <w:t>会务员</w:t>
            </w:r>
            <w:r>
              <w:rPr>
                <w:rFonts w:ascii="Times New Roman" w:hAnsi="Times New Roman"/>
                <w:color w:val="auto"/>
                <w:sz w:val="21"/>
                <w:szCs w:val="21"/>
                <w:highlight w:val="none"/>
              </w:rPr>
              <w:t>夏装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7</w:t>
            </w:r>
          </w:p>
        </w:tc>
        <w:tc>
          <w:tcPr>
            <w:tcW w:w="3535" w:type="dxa"/>
          </w:tcPr>
          <w:p>
            <w:pPr>
              <w:pStyle w:val="17"/>
              <w:jc w:val="center"/>
              <w:rPr>
                <w:rFonts w:ascii="Times New Roman" w:hAnsi="Times New Roman"/>
                <w:bCs/>
                <w:color w:val="auto"/>
                <w:kern w:val="2"/>
                <w:sz w:val="21"/>
                <w:szCs w:val="21"/>
                <w:highlight w:val="none"/>
                <w:vertAlign w:val="baseline"/>
              </w:rPr>
            </w:pPr>
            <w:r>
              <w:rPr>
                <w:rFonts w:ascii="Times New Roman" w:hAnsi="Times New Roman"/>
                <w:bCs/>
                <w:color w:val="auto"/>
                <w:kern w:val="2"/>
                <w:sz w:val="21"/>
                <w:szCs w:val="21"/>
                <w:highlight w:val="none"/>
              </w:rPr>
              <w:t>清洁组</w:t>
            </w:r>
            <w:r>
              <w:rPr>
                <w:rFonts w:ascii="Times New Roman" w:hAnsi="Times New Roman"/>
                <w:color w:val="auto"/>
                <w:sz w:val="21"/>
                <w:szCs w:val="21"/>
                <w:highlight w:val="none"/>
              </w:rPr>
              <w:t>冬装</w:t>
            </w:r>
          </w:p>
        </w:tc>
        <w:tc>
          <w:tcPr>
            <w:tcW w:w="2322" w:type="dxa"/>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8</w:t>
            </w:r>
          </w:p>
        </w:tc>
        <w:tc>
          <w:tcPr>
            <w:tcW w:w="3535" w:type="dxa"/>
          </w:tcPr>
          <w:p>
            <w:pPr>
              <w:pStyle w:val="17"/>
              <w:jc w:val="center"/>
              <w:rPr>
                <w:rFonts w:ascii="Times New Roman" w:hAnsi="Times New Roman"/>
                <w:bCs/>
                <w:color w:val="auto"/>
                <w:kern w:val="2"/>
                <w:sz w:val="21"/>
                <w:szCs w:val="21"/>
                <w:highlight w:val="none"/>
                <w:vertAlign w:val="baseline"/>
              </w:rPr>
            </w:pPr>
            <w:r>
              <w:rPr>
                <w:rFonts w:ascii="Times New Roman" w:hAnsi="Times New Roman"/>
                <w:bCs/>
                <w:color w:val="auto"/>
                <w:kern w:val="2"/>
                <w:sz w:val="21"/>
                <w:szCs w:val="21"/>
                <w:highlight w:val="none"/>
              </w:rPr>
              <w:t>清洁组</w:t>
            </w:r>
            <w:r>
              <w:rPr>
                <w:rFonts w:ascii="Times New Roman" w:hAnsi="Times New Roman"/>
                <w:color w:val="auto"/>
                <w:sz w:val="21"/>
                <w:szCs w:val="21"/>
                <w:highlight w:val="none"/>
              </w:rPr>
              <w:t>夏装</w:t>
            </w:r>
          </w:p>
        </w:tc>
        <w:tc>
          <w:tcPr>
            <w:tcW w:w="2322"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lang w:val="en-US" w:eastAsia="zh-CN"/>
              </w:rPr>
              <w:t>12套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9</w:t>
            </w:r>
          </w:p>
        </w:tc>
        <w:tc>
          <w:tcPr>
            <w:tcW w:w="3535" w:type="dxa"/>
          </w:tcPr>
          <w:p>
            <w:pPr>
              <w:pStyle w:val="17"/>
              <w:jc w:val="center"/>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餐饮</w:t>
            </w:r>
            <w:r>
              <w:rPr>
                <w:rFonts w:ascii="Times New Roman" w:hAnsi="Times New Roman"/>
                <w:bCs/>
                <w:color w:val="auto"/>
                <w:kern w:val="2"/>
                <w:sz w:val="21"/>
                <w:szCs w:val="21"/>
                <w:highlight w:val="none"/>
              </w:rPr>
              <w:t>组</w:t>
            </w:r>
            <w:r>
              <w:rPr>
                <w:rFonts w:ascii="Times New Roman" w:hAnsi="Times New Roman"/>
                <w:color w:val="auto"/>
                <w:sz w:val="21"/>
                <w:szCs w:val="21"/>
                <w:highlight w:val="none"/>
              </w:rPr>
              <w:t>冬装</w:t>
            </w:r>
          </w:p>
        </w:tc>
        <w:tc>
          <w:tcPr>
            <w:tcW w:w="2322" w:type="dxa"/>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10套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10</w:t>
            </w:r>
          </w:p>
        </w:tc>
        <w:tc>
          <w:tcPr>
            <w:tcW w:w="3535" w:type="dxa"/>
          </w:tcPr>
          <w:p>
            <w:pPr>
              <w:pStyle w:val="17"/>
              <w:jc w:val="center"/>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餐饮</w:t>
            </w:r>
            <w:r>
              <w:rPr>
                <w:rFonts w:ascii="Times New Roman" w:hAnsi="Times New Roman"/>
                <w:bCs/>
                <w:color w:val="auto"/>
                <w:kern w:val="2"/>
                <w:sz w:val="21"/>
                <w:szCs w:val="21"/>
                <w:highlight w:val="none"/>
              </w:rPr>
              <w:t>组</w:t>
            </w:r>
            <w:r>
              <w:rPr>
                <w:rFonts w:ascii="Times New Roman" w:hAnsi="Times New Roman"/>
                <w:color w:val="auto"/>
                <w:sz w:val="21"/>
                <w:szCs w:val="21"/>
                <w:highlight w:val="none"/>
              </w:rPr>
              <w:t>夏装</w:t>
            </w:r>
          </w:p>
        </w:tc>
        <w:tc>
          <w:tcPr>
            <w:tcW w:w="2322"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lang w:val="en-US" w:eastAsia="zh-CN"/>
              </w:rPr>
              <w:t>10套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11</w:t>
            </w:r>
          </w:p>
        </w:tc>
        <w:tc>
          <w:tcPr>
            <w:tcW w:w="3535" w:type="dxa"/>
          </w:tcPr>
          <w:p>
            <w:pPr>
              <w:pStyle w:val="17"/>
              <w:jc w:val="center"/>
              <w:rPr>
                <w:rFonts w:hint="default"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水电工</w:t>
            </w:r>
            <w:r>
              <w:rPr>
                <w:rFonts w:ascii="Times New Roman" w:hAnsi="Times New Roman"/>
                <w:color w:val="auto"/>
                <w:sz w:val="21"/>
                <w:szCs w:val="21"/>
                <w:highlight w:val="none"/>
              </w:rPr>
              <w:t>冬装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12</w:t>
            </w:r>
          </w:p>
        </w:tc>
        <w:tc>
          <w:tcPr>
            <w:tcW w:w="3535" w:type="dxa"/>
          </w:tcPr>
          <w:p>
            <w:pPr>
              <w:pStyle w:val="17"/>
              <w:jc w:val="center"/>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水电工</w:t>
            </w:r>
            <w:r>
              <w:rPr>
                <w:rFonts w:ascii="Times New Roman" w:hAnsi="Times New Roman"/>
                <w:color w:val="auto"/>
                <w:sz w:val="21"/>
                <w:szCs w:val="21"/>
                <w:highlight w:val="none"/>
              </w:rPr>
              <w:t>夏装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13</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大衣</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22</w:t>
            </w:r>
            <w:r>
              <w:rPr>
                <w:rFonts w:ascii="Times New Roman" w:hAnsi="Times New Roman"/>
                <w:color w:val="auto"/>
                <w:sz w:val="21"/>
                <w:szCs w:val="21"/>
                <w:highlight w:val="none"/>
              </w:rPr>
              <w:t>件</w:t>
            </w:r>
          </w:p>
        </w:tc>
        <w:tc>
          <w:tcPr>
            <w:tcW w:w="2322" w:type="dxa"/>
            <w:vMerge w:val="restart"/>
            <w:vAlign w:val="center"/>
          </w:tcPr>
          <w:p>
            <w:pPr>
              <w:pStyle w:val="17"/>
              <w:jc w:val="center"/>
              <w:rPr>
                <w:rFonts w:hint="eastAsia" w:ascii="Times New Roman" w:hAnsi="Times New Roman" w:eastAsia="宋体"/>
                <w:bCs/>
                <w:color w:val="auto"/>
                <w:kern w:val="2"/>
                <w:sz w:val="21"/>
                <w:szCs w:val="21"/>
                <w:highlight w:val="none"/>
                <w:vertAlign w:val="baseline"/>
                <w:lang w:eastAsia="zh-CN"/>
              </w:rPr>
            </w:pPr>
            <w:r>
              <w:rPr>
                <w:rFonts w:ascii="Times New Roman" w:hAnsi="Times New Roman"/>
                <w:color w:val="auto"/>
                <w:sz w:val="21"/>
                <w:szCs w:val="21"/>
                <w:highlight w:val="none"/>
              </w:rPr>
              <w:t>每人1件</w:t>
            </w:r>
            <w:r>
              <w:rPr>
                <w:rFonts w:hint="eastAsia"/>
                <w:color w:val="auto"/>
                <w:sz w:val="21"/>
                <w:szCs w:val="21"/>
                <w:highlight w:val="none"/>
                <w:lang w:val="en-US" w:eastAsia="zh-CN"/>
              </w:rPr>
              <w:t>/双</w:t>
            </w:r>
            <w:r>
              <w:rPr>
                <w:rFonts w:hint="eastAsia" w:ascii="Times New Roman" w:hAnsi="Times New Roman"/>
                <w:color w:val="auto"/>
                <w:sz w:val="21"/>
                <w:szCs w:val="21"/>
                <w:highlight w:val="none"/>
              </w:rPr>
              <w:t>（其中工牌25个，含兼职人员）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14</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雨衣</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22</w:t>
            </w:r>
            <w:r>
              <w:rPr>
                <w:rFonts w:ascii="Times New Roman" w:hAnsi="Times New Roman"/>
                <w:color w:val="auto"/>
                <w:sz w:val="21"/>
                <w:szCs w:val="21"/>
                <w:highlight w:val="none"/>
              </w:rPr>
              <w:t>件</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15</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雨鞋</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22</w:t>
            </w:r>
            <w:r>
              <w:rPr>
                <w:rFonts w:ascii="Times New Roman" w:hAnsi="Times New Roman"/>
                <w:color w:val="auto"/>
                <w:sz w:val="21"/>
                <w:szCs w:val="21"/>
                <w:highlight w:val="none"/>
              </w:rPr>
              <w:t>双</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16</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工牌</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25</w:t>
            </w:r>
            <w:r>
              <w:rPr>
                <w:rFonts w:ascii="Times New Roman" w:hAnsi="Times New Roman"/>
                <w:color w:val="auto"/>
                <w:sz w:val="21"/>
                <w:szCs w:val="21"/>
                <w:highlight w:val="none"/>
              </w:rPr>
              <w:t>个</w:t>
            </w:r>
          </w:p>
        </w:tc>
        <w:tc>
          <w:tcPr>
            <w:tcW w:w="2322" w:type="dxa"/>
            <w:vMerge w:val="continue"/>
          </w:tcPr>
          <w:p>
            <w:pPr>
              <w:pStyle w:val="17"/>
              <w:rPr>
                <w:rFonts w:ascii="Times New Roman" w:hAnsi="Times New Roman"/>
                <w:bCs/>
                <w:color w:val="auto"/>
                <w:kern w:val="2"/>
                <w:sz w:val="21"/>
                <w:szCs w:val="21"/>
                <w:highlight w:val="none"/>
                <w:vertAlign w:val="baseline"/>
              </w:rPr>
            </w:pPr>
          </w:p>
        </w:tc>
      </w:tr>
    </w:tbl>
    <w:p>
      <w:pPr>
        <w:pStyle w:val="17"/>
        <w:rPr>
          <w:rFonts w:hint="default" w:ascii="Times New Roman" w:hAnsi="Times New Roman" w:eastAsia="宋体"/>
          <w:b/>
          <w:bCs w:val="0"/>
          <w:color w:val="auto"/>
          <w:kern w:val="2"/>
          <w:sz w:val="21"/>
          <w:szCs w:val="21"/>
          <w:highlight w:val="none"/>
          <w:lang w:val="en-US" w:eastAsia="zh-CN"/>
        </w:rPr>
      </w:pPr>
      <w:r>
        <w:rPr>
          <w:rFonts w:hint="eastAsia" w:ascii="Times New Roman" w:hAnsi="Times New Roman"/>
          <w:b/>
          <w:bCs w:val="0"/>
          <w:color w:val="auto"/>
          <w:kern w:val="2"/>
          <w:sz w:val="21"/>
          <w:szCs w:val="21"/>
          <w:highlight w:val="none"/>
          <w:lang w:val="en-US" w:eastAsia="zh-CN"/>
        </w:rPr>
        <w:t>注：兼职人员服装由中标人提供。</w:t>
      </w:r>
      <w:r>
        <w:rPr>
          <w:rFonts w:hint="eastAsia"/>
          <w:b/>
          <w:bCs w:val="0"/>
          <w:color w:val="auto"/>
          <w:kern w:val="2"/>
          <w:sz w:val="21"/>
          <w:szCs w:val="21"/>
          <w:highlight w:val="none"/>
          <w:lang w:val="en-US" w:eastAsia="zh-CN"/>
        </w:rPr>
        <w:t>服务人员的工作着装费用由</w:t>
      </w:r>
      <w:r>
        <w:rPr>
          <w:rFonts w:hint="eastAsia" w:ascii="Times New Roman" w:hAnsi="Times New Roman"/>
          <w:b/>
          <w:bCs w:val="0"/>
          <w:color w:val="auto"/>
          <w:kern w:val="2"/>
          <w:sz w:val="21"/>
          <w:szCs w:val="21"/>
          <w:highlight w:val="none"/>
          <w:lang w:val="en-US" w:eastAsia="zh-CN"/>
        </w:rPr>
        <w:t>中标人承担，采购人不另行支付。</w:t>
      </w:r>
    </w:p>
    <w:p>
      <w:pPr>
        <w:pStyle w:val="17"/>
        <w:rPr>
          <w:rFonts w:ascii="Times New Roman" w:hAnsi="Times New Roman"/>
          <w:bCs/>
          <w:color w:val="auto"/>
          <w:kern w:val="2"/>
          <w:sz w:val="21"/>
          <w:szCs w:val="21"/>
          <w:highlight w:val="none"/>
        </w:rPr>
      </w:pPr>
    </w:p>
    <w:p>
      <w:pPr>
        <w:keepNext w:val="0"/>
        <w:keepLines w:val="0"/>
        <w:pageBreakBefore w:val="0"/>
        <w:widowControl w:val="0"/>
        <w:numPr>
          <w:ilvl w:val="0"/>
          <w:numId w:val="10"/>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人员的管理要求</w:t>
      </w:r>
    </w:p>
    <w:p>
      <w:pPr>
        <w:numPr>
          <w:ilvl w:val="0"/>
          <w:numId w:val="1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负责计划生育管理，按照佛山市计生部门有关规定执行。</w:t>
      </w:r>
    </w:p>
    <w:p>
      <w:pPr>
        <w:numPr>
          <w:ilvl w:val="0"/>
          <w:numId w:val="1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负责流动人口管理，按照佛山市有关流动人口管理办法执行。</w:t>
      </w:r>
    </w:p>
    <w:p>
      <w:pPr>
        <w:numPr>
          <w:ilvl w:val="0"/>
          <w:numId w:val="1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负责劳动关系管理，遵守佛山市劳动法规用工，合理安排员工休息。</w:t>
      </w:r>
    </w:p>
    <w:p>
      <w:pPr>
        <w:numPr>
          <w:ilvl w:val="0"/>
          <w:numId w:val="1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由采购人提供管理用办公室一间给中标人使用。</w:t>
      </w:r>
    </w:p>
    <w:p>
      <w:pPr>
        <w:pStyle w:val="17"/>
        <w:rPr>
          <w:color w:val="auto"/>
          <w:highlight w:val="none"/>
        </w:rPr>
      </w:pPr>
    </w:p>
    <w:p>
      <w:pPr>
        <w:keepNext w:val="0"/>
        <w:keepLines w:val="0"/>
        <w:pageBreakBefore w:val="0"/>
        <w:widowControl w:val="0"/>
        <w:numPr>
          <w:ilvl w:val="0"/>
          <w:numId w:val="10"/>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管理服务工作要求及标准</w:t>
      </w:r>
    </w:p>
    <w:p>
      <w:pPr>
        <w:numPr>
          <w:ilvl w:val="0"/>
          <w:numId w:val="1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树立“业主至上，服务第一”的思想，为边检站创造一个整洁、优雅、舒适的工作和办事环境。</w:t>
      </w:r>
    </w:p>
    <w:p>
      <w:pPr>
        <w:numPr>
          <w:ilvl w:val="0"/>
          <w:numId w:val="1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为边检站提供细致、周到、真诚、规范的服务，最大限度地满足边检站的服务要求。</w:t>
      </w:r>
    </w:p>
    <w:p>
      <w:pPr>
        <w:numPr>
          <w:ilvl w:val="0"/>
          <w:numId w:val="1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主动、积极加强与边检站的联系，多途径、多渠道征询和听取意见，不断改进工作，要求有效投诉处理率达100%，投诉回复率达100%。</w:t>
      </w:r>
    </w:p>
    <w:p>
      <w:pPr>
        <w:numPr>
          <w:ilvl w:val="0"/>
          <w:numId w:val="1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进一步完善各项管理制度、各岗位工作标准，建立严格的考核办法，坚持保密原则，充分调动员工的工作积极性和主观能动性。进一步加强员工的服务意识和责任心。</w:t>
      </w:r>
    </w:p>
    <w:p>
      <w:pPr>
        <w:numPr>
          <w:ilvl w:val="0"/>
          <w:numId w:val="1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制定完善系统的培训计划，切实提高员工队伍的整体素质，特殊工种持证上岗率达100%。</w:t>
      </w:r>
    </w:p>
    <w:p>
      <w:pPr>
        <w:numPr>
          <w:ilvl w:val="0"/>
          <w:numId w:val="1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规范和完善24小时值班制度，对采购人有关后勤服务要求，服务求助、投诉等各类情况的反馈时间：在正常工作日不超过1小时；非工作日期间不超2小时，并视轻重缓急及时处理，建立配套回访制度和记录。</w:t>
      </w:r>
    </w:p>
    <w:p>
      <w:pPr>
        <w:pStyle w:val="17"/>
        <w:rPr>
          <w:rFonts w:hint="eastAsia"/>
          <w:color w:val="auto"/>
          <w:highlight w:val="none"/>
          <w:lang w:val="en-US" w:eastAsia="zh-CN"/>
        </w:rPr>
      </w:pPr>
    </w:p>
    <w:p>
      <w:pPr>
        <w:pStyle w:val="21"/>
        <w:numPr>
          <w:ilvl w:val="0"/>
          <w:numId w:val="8"/>
        </w:numPr>
        <w:tabs>
          <w:tab w:val="left" w:pos="540"/>
        </w:tabs>
        <w:adjustRightInd w:val="0"/>
        <w:snapToGrid w:val="0"/>
        <w:spacing w:beforeLines="100" w:line="360" w:lineRule="auto"/>
        <w:outlineLvl w:val="1"/>
        <w:rPr>
          <w:rFonts w:hAnsi="宋体" w:cs="宋体"/>
          <w:b/>
          <w:color w:val="auto"/>
          <w:sz w:val="21"/>
          <w:szCs w:val="21"/>
          <w:highlight w:val="none"/>
        </w:rPr>
      </w:pPr>
      <w:bookmarkStart w:id="56" w:name="_Toc30361"/>
      <w:r>
        <w:rPr>
          <w:rFonts w:hint="eastAsia" w:hAnsi="宋体" w:cs="宋体"/>
          <w:b/>
          <w:color w:val="auto"/>
          <w:sz w:val="21"/>
          <w:szCs w:val="21"/>
          <w:highlight w:val="none"/>
          <w:lang w:val="en-US" w:eastAsia="zh-CN"/>
        </w:rPr>
        <w:t>报价要求</w:t>
      </w:r>
      <w:bookmarkEnd w:id="56"/>
    </w:p>
    <w:p>
      <w:pPr>
        <w:numPr>
          <w:ilvl w:val="0"/>
          <w:numId w:val="16"/>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本项目采用固定月度物业管理服务费包干方式，月度物业管理服务费最高限价为139982.96元，超过最高限价的，作否决投标处理。</w:t>
      </w:r>
    </w:p>
    <w:p>
      <w:pPr>
        <w:numPr>
          <w:ilvl w:val="0"/>
          <w:numId w:val="16"/>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中标人所填报的物业管理服务费包括但不限于以下内容，另有约定的除外：</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服务人员费</w:t>
      </w:r>
      <w:r>
        <w:rPr>
          <w:rFonts w:ascii="Times New Roman" w:hAnsi="Times New Roman"/>
          <w:color w:val="auto"/>
          <w:kern w:val="2"/>
          <w:sz w:val="21"/>
          <w:szCs w:val="21"/>
          <w:highlight w:val="none"/>
        </w:rPr>
        <w:t>：</w:t>
      </w:r>
      <w:r>
        <w:rPr>
          <w:rFonts w:hint="eastAsia" w:ascii="宋体" w:hAnsi="宋体" w:cs="宋体"/>
          <w:b w:val="0"/>
          <w:bCs w:val="0"/>
          <w:color w:val="auto"/>
          <w:sz w:val="21"/>
          <w:szCs w:val="21"/>
          <w:highlight w:val="none"/>
          <w:lang w:val="en-US" w:eastAsia="zh-CN"/>
        </w:rPr>
        <w:t>人员工资、</w:t>
      </w:r>
      <w:r>
        <w:rPr>
          <w:rFonts w:hint="eastAsia"/>
          <w:color w:val="auto"/>
          <w:highlight w:val="none"/>
          <w:lang w:eastAsia="zh-CN"/>
        </w:rPr>
        <w:t>社保、工伤意外保险、</w:t>
      </w:r>
      <w:r>
        <w:rPr>
          <w:rFonts w:hint="eastAsia" w:ascii="宋体" w:hAnsi="宋体" w:cs="宋体"/>
          <w:b w:val="0"/>
          <w:bCs w:val="0"/>
          <w:color w:val="auto"/>
          <w:sz w:val="21"/>
          <w:szCs w:val="21"/>
          <w:highlight w:val="none"/>
          <w:lang w:val="en-US" w:eastAsia="zh-CN"/>
        </w:rPr>
        <w:t>加班费、节日福利费、保安培训费、体检费等</w:t>
      </w:r>
      <w:r>
        <w:rPr>
          <w:rFonts w:ascii="Times New Roman" w:hAnsi="Times New Roman"/>
          <w:color w:val="auto"/>
          <w:kern w:val="2"/>
          <w:sz w:val="21"/>
          <w:szCs w:val="21"/>
          <w:highlight w:val="none"/>
        </w:rPr>
        <w:t>；</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福利保险</w:t>
      </w:r>
      <w:r>
        <w:rPr>
          <w:rFonts w:hint="eastAsia" w:ascii="Times New Roman" w:hAnsi="Times New Roman"/>
          <w:color w:val="auto"/>
          <w:kern w:val="2"/>
          <w:sz w:val="21"/>
          <w:szCs w:val="21"/>
          <w:highlight w:val="none"/>
          <w:lang w:val="en-US" w:eastAsia="zh-CN"/>
        </w:rPr>
        <w:t>费</w:t>
      </w:r>
      <w:r>
        <w:rPr>
          <w:rFonts w:ascii="Times New Roman" w:hAnsi="Times New Roman"/>
          <w:color w:val="auto"/>
          <w:kern w:val="2"/>
          <w:sz w:val="21"/>
          <w:szCs w:val="21"/>
          <w:highlight w:val="none"/>
        </w:rPr>
        <w:t>：福利费（资金补贴）、培训费、工会费、节假日慰问费、</w:t>
      </w:r>
      <w:r>
        <w:rPr>
          <w:rFonts w:hint="eastAsia" w:ascii="Times New Roman" w:hAnsi="Times New Roman"/>
          <w:color w:val="auto"/>
          <w:kern w:val="2"/>
          <w:sz w:val="21"/>
          <w:szCs w:val="21"/>
          <w:highlight w:val="none"/>
        </w:rPr>
        <w:t>高温补贴</w:t>
      </w:r>
      <w:r>
        <w:rPr>
          <w:rFonts w:ascii="Times New Roman" w:hAnsi="Times New Roman"/>
          <w:color w:val="auto"/>
          <w:kern w:val="2"/>
          <w:sz w:val="21"/>
          <w:szCs w:val="21"/>
          <w:highlight w:val="none"/>
        </w:rPr>
        <w:t>、佛山市规定的各种社会保险等；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3）</w:t>
      </w:r>
      <w:r>
        <w:rPr>
          <w:rFonts w:ascii="Times New Roman" w:hAnsi="Times New Roman"/>
          <w:color w:val="auto"/>
          <w:kern w:val="2"/>
          <w:sz w:val="21"/>
          <w:szCs w:val="21"/>
          <w:highlight w:val="none"/>
        </w:rPr>
        <w:t>绿化费用：边检站范围内绿化日常养护与修剪；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4）</w:t>
      </w:r>
      <w:r>
        <w:rPr>
          <w:rFonts w:ascii="Times New Roman" w:hAnsi="Times New Roman"/>
          <w:color w:val="auto"/>
          <w:kern w:val="2"/>
          <w:sz w:val="21"/>
          <w:szCs w:val="21"/>
          <w:highlight w:val="none"/>
        </w:rPr>
        <w:t>公共秩序管理费：工具物料消耗、保安管理费（公安部门收取）、各种装备维护保养等；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5）</w:t>
      </w:r>
      <w:r>
        <w:rPr>
          <w:rFonts w:ascii="Times New Roman" w:hAnsi="Times New Roman"/>
          <w:color w:val="auto"/>
          <w:kern w:val="2"/>
          <w:sz w:val="21"/>
          <w:szCs w:val="21"/>
          <w:highlight w:val="none"/>
        </w:rPr>
        <w:t>开办费摊销：开展工作必备的物资装备费用，如全部人员服装、安防装备；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（6）除四害费：站部营区每月2次除四害，厨房每月4次，站部、办公楼及宿舍等发现虫害情况，随叫随到随清理。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（7）管理费、 利润、 税金、招标代理服务费、不可预见费及为完成本招标内容所需的一切费用。</w:t>
      </w:r>
    </w:p>
    <w:p>
      <w:pPr>
        <w:numPr>
          <w:ilvl w:val="0"/>
          <w:numId w:val="16"/>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本项目预算金额中不包含以下费用，以下费用由采购人确定结算方式：</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（1）</w:t>
      </w:r>
      <w:r>
        <w:rPr>
          <w:rFonts w:ascii="Times New Roman" w:hAnsi="Times New Roman"/>
          <w:color w:val="auto"/>
          <w:kern w:val="2"/>
          <w:sz w:val="21"/>
          <w:szCs w:val="21"/>
          <w:highlight w:val="none"/>
        </w:rPr>
        <w:t>公共水电费：清洁、绿化、消防用水，所有设施设备的维修与配件更换；</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（2）</w:t>
      </w:r>
      <w:r>
        <w:rPr>
          <w:rFonts w:ascii="Times New Roman" w:hAnsi="Times New Roman"/>
          <w:color w:val="auto"/>
          <w:kern w:val="2"/>
          <w:sz w:val="21"/>
          <w:szCs w:val="21"/>
          <w:highlight w:val="none"/>
        </w:rPr>
        <w:t>其他相关费用：清洁材料费、绿化养护费、维修材料费；</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（3）</w:t>
      </w:r>
      <w:r>
        <w:rPr>
          <w:rFonts w:ascii="Times New Roman" w:hAnsi="Times New Roman"/>
          <w:color w:val="auto"/>
          <w:kern w:val="2"/>
          <w:sz w:val="21"/>
          <w:szCs w:val="21"/>
          <w:highlight w:val="none"/>
        </w:rPr>
        <w:t>垃圾清运及处理费（由市政管理部门收取）；</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（4）</w:t>
      </w:r>
      <w:r>
        <w:rPr>
          <w:rFonts w:ascii="Times New Roman" w:hAnsi="Times New Roman"/>
          <w:color w:val="auto"/>
          <w:kern w:val="2"/>
          <w:sz w:val="21"/>
          <w:szCs w:val="21"/>
          <w:highlight w:val="none"/>
        </w:rPr>
        <w:t>地面定期抛光打蜡、外墙清洗、化粪池、隔油池清理、中央空调定期保单费、电梯定期检测维保费、配电房安全检测费、配电房及供电管线维保费、消防连网系统保养等特种保养费用；</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（5）</w:t>
      </w:r>
      <w:r>
        <w:rPr>
          <w:rFonts w:ascii="Times New Roman" w:hAnsi="Times New Roman"/>
          <w:color w:val="auto"/>
          <w:kern w:val="2"/>
          <w:sz w:val="21"/>
          <w:szCs w:val="21"/>
          <w:highlight w:val="none"/>
        </w:rPr>
        <w:t>室内外绿化更换养护费用；</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（6）</w:t>
      </w:r>
      <w:r>
        <w:rPr>
          <w:rFonts w:ascii="Times New Roman" w:hAnsi="Times New Roman"/>
          <w:color w:val="auto"/>
          <w:kern w:val="2"/>
          <w:sz w:val="21"/>
          <w:szCs w:val="21"/>
          <w:highlight w:val="none"/>
        </w:rPr>
        <w:t>其它需要采购人和中标人协商的费用。</w:t>
      </w:r>
    </w:p>
    <w:p>
      <w:pPr>
        <w:pStyle w:val="21"/>
        <w:numPr>
          <w:ilvl w:val="0"/>
          <w:numId w:val="8"/>
        </w:numPr>
        <w:tabs>
          <w:tab w:val="left" w:pos="540"/>
        </w:tabs>
        <w:adjustRightInd w:val="0"/>
        <w:snapToGrid w:val="0"/>
        <w:spacing w:beforeLines="100" w:line="360" w:lineRule="auto"/>
        <w:outlineLvl w:val="1"/>
        <w:rPr>
          <w:rFonts w:hAnsi="宋体" w:cs="宋体"/>
          <w:b/>
          <w:color w:val="auto"/>
          <w:sz w:val="21"/>
          <w:szCs w:val="21"/>
          <w:highlight w:val="none"/>
        </w:rPr>
      </w:pPr>
      <w:bookmarkStart w:id="57" w:name="_Toc27268"/>
      <w:r>
        <w:rPr>
          <w:rFonts w:hint="eastAsia" w:hAnsi="宋体" w:cs="宋体"/>
          <w:b/>
          <w:color w:val="auto"/>
          <w:sz w:val="21"/>
          <w:szCs w:val="21"/>
          <w:highlight w:val="none"/>
          <w:lang w:val="en-US" w:eastAsia="zh-CN"/>
        </w:rPr>
        <w:t>其他服务要求</w:t>
      </w:r>
      <w:bookmarkEnd w:id="57"/>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双方签订合同时，中标人需附项目各岗位人员工作流程、工作标准及考评登记表，并严格遵照执行，并保证所派遣劳务人员素质要求达到我方规定要求。</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中标人所派遣的服务人员与采购人不形成任何法律关系，中标人负责对派遣的工作人员进行政治和违法犯罪审查。服务期间发生的人身意外伤害与采购人无关。</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中标人及所派遣的工作人员未经南海边检站同意，不得以南海边检站的名义从事任何经济、社会、文化等活动。</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在实施本项目的物业管理服务中须有严格的上下班签到签退、日常巡查检查及每月每季考评管理等制度。日常巡查检查由保洁员负责，日常巡查检查中应善于发现处理安全隐患问题，善于维护良好环境卫生秩序。</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服务期间，水电及保洁所需纸巾、洗手液等消耗品由边检站提供，但须坚持节约使用。中标人及其服务人员不得收取变卖我站废旧物品或带出营区变卖。</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中标人及其服务人员需具有较强的保密意识，不得打听、传、说边检站工作内容，如接触到工作内容，要遵守保密规定。</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中标人及其服务人员需能够快速响应及时支援本项目管理，达到人力资源和相关物资共享效果。</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中标人需具有较强的安保服务能力，并定期组织保安人员开展应急处突训练。</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所提供的管理人员素质要求必须与投标文件表述一致，合同履行期间，不准更换管理人员；每更换一次管理人员，或月考评（考核细则见附件）被评为不满意的，采购人扣减中标人的物业管理服务费，扣减金额为月度物业管理服务费的5%。合同履行期间累计两个月中标人物业管理服务考评结果为不满意的，采购人有权解除合同。</w:t>
      </w:r>
    </w:p>
    <w:p>
      <w:pPr>
        <w:numPr>
          <w:ilvl w:val="0"/>
          <w:numId w:val="18"/>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本项目不得转包、分包。</w:t>
      </w:r>
    </w:p>
    <w:bookmarkEnd w:id="54"/>
    <w:p>
      <w:pPr>
        <w:pStyle w:val="21"/>
        <w:numPr>
          <w:ilvl w:val="0"/>
          <w:numId w:val="8"/>
        </w:numPr>
        <w:tabs>
          <w:tab w:val="left" w:pos="540"/>
        </w:tabs>
        <w:adjustRightInd w:val="0"/>
        <w:snapToGrid w:val="0"/>
        <w:spacing w:beforeLines="100" w:line="360" w:lineRule="auto"/>
        <w:outlineLvl w:val="1"/>
        <w:rPr>
          <w:rFonts w:hAnsi="宋体" w:cs="宋体"/>
          <w:b/>
          <w:color w:val="auto"/>
          <w:sz w:val="21"/>
          <w:szCs w:val="21"/>
          <w:highlight w:val="none"/>
        </w:rPr>
      </w:pPr>
      <w:bookmarkStart w:id="58" w:name="_Toc32035"/>
      <w:bookmarkStart w:id="59" w:name="_Toc8600"/>
      <w:bookmarkStart w:id="60" w:name="_Toc18834"/>
      <w:r>
        <w:rPr>
          <w:rFonts w:hint="eastAsia" w:hAnsi="宋体" w:cs="宋体"/>
          <w:b/>
          <w:color w:val="auto"/>
          <w:sz w:val="21"/>
          <w:szCs w:val="21"/>
          <w:highlight w:val="none"/>
        </w:rPr>
        <w:t>付款方式</w:t>
      </w:r>
      <w:bookmarkEnd w:id="58"/>
    </w:p>
    <w:p>
      <w:pPr>
        <w:numPr>
          <w:ilvl w:val="0"/>
          <w:numId w:val="19"/>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采购人将在本月支付上个月度的物业管理服务费，实际月度物业管理服务费=月度物业管理服务费-应扣减费用（如有）。</w:t>
      </w:r>
    </w:p>
    <w:p>
      <w:pPr>
        <w:numPr>
          <w:ilvl w:val="0"/>
          <w:numId w:val="19"/>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应在认可采购人根据前款约定确定月度服务费金额后，及时向采购人出具等额的物业服务类发票。付款方式为转账。中标人未及时出具等额有效物业费发票，导致付款延迟的，因此造成的损失由中标人自行承担责任。</w:t>
      </w:r>
    </w:p>
    <w:p>
      <w:pPr>
        <w:numPr>
          <w:ilvl w:val="0"/>
          <w:numId w:val="19"/>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中标人如因特殊情况提供的服务时间不足一个月，则按月度物业管理服务费除以30日折算每日服务费，并结合考评结果、应扣减的金额计算实际应付物业管理服务费。</w:t>
      </w:r>
    </w:p>
    <w:p>
      <w:pPr>
        <w:numPr>
          <w:ilvl w:val="0"/>
          <w:numId w:val="19"/>
        </w:numPr>
        <w:tabs>
          <w:tab w:val="left" w:pos="540"/>
        </w:tabs>
        <w:snapToGrid w:val="0"/>
        <w:spacing w:line="360" w:lineRule="auto"/>
        <w:ind w:left="0" w:leftChars="0" w:firstLine="400" w:firstLineChars="0"/>
        <w:jc w:val="both"/>
        <w:textAlignment w:val="baseline"/>
        <w:rPr>
          <w:rFonts w:hint="eastAsia" w:ascii="Times New Roman" w:hAnsi="Times New Roman" w:eastAsia="宋体" w:cs="Times New Roman"/>
          <w:bCs/>
          <w:color w:val="auto"/>
          <w:kern w:val="2"/>
          <w:sz w:val="21"/>
          <w:szCs w:val="21"/>
          <w:highlight w:val="none"/>
          <w:lang w:val="en-US" w:eastAsia="zh-CN"/>
        </w:rPr>
      </w:pPr>
      <w:r>
        <w:rPr>
          <w:rFonts w:hint="eastAsia" w:ascii="Times New Roman" w:hAnsi="Times New Roman" w:eastAsia="宋体" w:cs="Times New Roman"/>
          <w:bCs/>
          <w:color w:val="auto"/>
          <w:kern w:val="2"/>
          <w:sz w:val="21"/>
          <w:szCs w:val="21"/>
          <w:highlight w:val="none"/>
          <w:lang w:val="en-US" w:eastAsia="zh-CN"/>
        </w:rPr>
        <w:t>中标人同意采购人从应付给中标人的服务费中直接扣减中标人应承担的违约金、赔偿金以及其他应扣减的费用、款项。</w:t>
      </w:r>
    </w:p>
    <w:p>
      <w:pPr>
        <w:numPr>
          <w:ilvl w:val="0"/>
          <w:numId w:val="19"/>
        </w:numPr>
        <w:tabs>
          <w:tab w:val="left" w:pos="540"/>
        </w:tabs>
        <w:snapToGrid w:val="0"/>
        <w:spacing w:line="360" w:lineRule="auto"/>
        <w:ind w:left="0" w:leftChars="0" w:firstLine="400" w:firstLineChars="0"/>
        <w:jc w:val="both"/>
        <w:textAlignment w:val="baseline"/>
        <w:rPr>
          <w:rFonts w:hint="eastAsia" w:ascii="Times New Roman" w:hAnsi="Times New Roman" w:eastAsia="宋体" w:cs="Times New Roman"/>
          <w:bCs/>
          <w:color w:val="auto"/>
          <w:kern w:val="2"/>
          <w:sz w:val="21"/>
          <w:szCs w:val="21"/>
          <w:highlight w:val="none"/>
          <w:lang w:val="en-US" w:eastAsia="zh-CN"/>
        </w:rPr>
      </w:pPr>
      <w:r>
        <w:rPr>
          <w:rFonts w:hint="eastAsia" w:ascii="Times New Roman" w:hAnsi="Times New Roman" w:eastAsia="宋体" w:cs="Times New Roman"/>
          <w:bCs/>
          <w:color w:val="auto"/>
          <w:kern w:val="2"/>
          <w:sz w:val="21"/>
          <w:szCs w:val="21"/>
          <w:highlight w:val="none"/>
          <w:lang w:val="en-US" w:eastAsia="zh-CN"/>
        </w:rPr>
        <w:t>付款期间如因特殊情况需调整，由双方协商处理。</w:t>
      </w:r>
    </w:p>
    <w:p>
      <w:pPr>
        <w:pStyle w:val="2"/>
        <w:rPr>
          <w:rFonts w:hint="eastAsia"/>
          <w:color w:val="auto"/>
          <w:highlight w:val="none"/>
          <w:lang w:val="en-US" w:eastAsia="zh-CN"/>
        </w:rPr>
      </w:pPr>
    </w:p>
    <w:bookmarkEnd w:id="59"/>
    <w:bookmarkEnd w:id="60"/>
    <w:p>
      <w:pPr>
        <w:rPr>
          <w:rFonts w:ascii="黑体" w:hAnsi="黑体" w:eastAsia="黑体" w:cs="黑体"/>
          <w:b/>
          <w:bCs/>
          <w:color w:val="auto"/>
          <w:sz w:val="32"/>
          <w:szCs w:val="32"/>
          <w:highlight w:val="none"/>
        </w:rPr>
      </w:pPr>
      <w:bookmarkStart w:id="61" w:name="_Toc520811882"/>
      <w:r>
        <w:rPr>
          <w:rFonts w:hint="eastAsia" w:ascii="黑体" w:hAnsi="黑体" w:eastAsia="黑体" w:cs="黑体"/>
          <w:b/>
          <w:bCs/>
          <w:color w:val="auto"/>
          <w:sz w:val="32"/>
          <w:szCs w:val="32"/>
          <w:highlight w:val="none"/>
        </w:rPr>
        <w:br w:type="page"/>
      </w:r>
    </w:p>
    <w:p>
      <w:pPr>
        <w:adjustRightInd w:val="0"/>
        <w:snapToGrid w:val="0"/>
        <w:spacing w:beforeLines="50" w:line="360" w:lineRule="auto"/>
        <w:jc w:val="center"/>
        <w:outlineLvl w:val="0"/>
        <w:rPr>
          <w:rFonts w:ascii="黑体" w:hAnsi="黑体" w:eastAsia="黑体" w:cs="黑体"/>
          <w:b/>
          <w:bCs/>
          <w:color w:val="auto"/>
          <w:sz w:val="32"/>
          <w:szCs w:val="32"/>
          <w:highlight w:val="none"/>
        </w:rPr>
      </w:pPr>
      <w:bookmarkStart w:id="62" w:name="_Toc530"/>
      <w:r>
        <w:rPr>
          <w:rFonts w:hint="eastAsia" w:ascii="黑体" w:hAnsi="黑体" w:eastAsia="黑体" w:cs="黑体"/>
          <w:b/>
          <w:bCs/>
          <w:color w:val="auto"/>
          <w:sz w:val="32"/>
          <w:szCs w:val="32"/>
          <w:highlight w:val="none"/>
        </w:rPr>
        <w:t>第四章 开标、评标、定标</w:t>
      </w:r>
      <w:bookmarkEnd w:id="62"/>
    </w:p>
    <w:p>
      <w:pPr>
        <w:pStyle w:val="81"/>
        <w:widowControl/>
        <w:numPr>
          <w:ilvl w:val="0"/>
          <w:numId w:val="20"/>
        </w:numPr>
        <w:spacing w:line="360" w:lineRule="auto"/>
        <w:ind w:firstLineChars="0"/>
        <w:jc w:val="left"/>
        <w:rPr>
          <w:rFonts w:ascii="宋体" w:hAnsi="宋体" w:cs="宋体"/>
          <w:color w:val="auto"/>
          <w:highlight w:val="none"/>
        </w:rPr>
      </w:pPr>
      <w:r>
        <w:rPr>
          <w:rFonts w:hint="eastAsia" w:ascii="宋体" w:hAnsi="宋体" w:cs="宋体"/>
          <w:color w:val="auto"/>
          <w:highlight w:val="none"/>
        </w:rPr>
        <w:t>开标</w:t>
      </w:r>
    </w:p>
    <w:p>
      <w:pPr>
        <w:pStyle w:val="81"/>
        <w:widowControl/>
        <w:numPr>
          <w:ilvl w:val="1"/>
          <w:numId w:val="20"/>
        </w:numPr>
        <w:spacing w:line="360" w:lineRule="auto"/>
        <w:ind w:firstLineChars="0"/>
        <w:jc w:val="left"/>
        <w:rPr>
          <w:rFonts w:ascii="宋体" w:hAnsi="宋体" w:cs="宋体"/>
          <w:color w:val="auto"/>
          <w:highlight w:val="none"/>
        </w:rPr>
      </w:pPr>
      <w:r>
        <w:rPr>
          <w:rFonts w:hint="eastAsia" w:ascii="宋体" w:hAnsi="宋体" w:cs="宋体"/>
          <w:color w:val="auto"/>
          <w:szCs w:val="21"/>
          <w:highlight w:val="none"/>
          <w:lang w:eastAsia="zh-TW"/>
        </w:rPr>
        <w:t>采购代理机构在投标邀请中规定的日期、时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w:t>
      </w:r>
      <w:r>
        <w:rPr>
          <w:rFonts w:hint="eastAsia" w:ascii="宋体" w:hAnsi="宋体" w:cs="宋体"/>
          <w:color w:val="auto"/>
          <w:szCs w:val="21"/>
          <w:highlight w:val="none"/>
        </w:rPr>
        <w:t>开标会议</w:t>
      </w:r>
      <w:r>
        <w:rPr>
          <w:rFonts w:hint="eastAsia" w:ascii="宋体" w:hAnsi="宋体" w:cs="宋体"/>
          <w:color w:val="auto"/>
          <w:szCs w:val="21"/>
          <w:highlight w:val="none"/>
          <w:lang w:eastAsia="zh-TW"/>
        </w:rPr>
        <w:t>。</w:t>
      </w:r>
      <w:r>
        <w:rPr>
          <w:rFonts w:hint="eastAsia" w:ascii="宋体" w:hAnsi="宋体" w:cs="宋体"/>
          <w:color w:val="auto"/>
          <w:szCs w:val="21"/>
          <w:highlight w:val="none"/>
        </w:rPr>
        <w:t>开标时邀请所有投标人代表参加。参加开标的代表应签名报到以证明其出席。</w:t>
      </w:r>
    </w:p>
    <w:p>
      <w:pPr>
        <w:pStyle w:val="81"/>
        <w:widowControl/>
        <w:numPr>
          <w:ilvl w:val="1"/>
          <w:numId w:val="20"/>
        </w:numPr>
        <w:spacing w:line="360" w:lineRule="auto"/>
        <w:ind w:firstLineChars="0"/>
        <w:jc w:val="left"/>
        <w:rPr>
          <w:rFonts w:ascii="宋体" w:hAnsi="宋体" w:cs="宋体"/>
          <w:b/>
          <w:color w:val="auto"/>
          <w:szCs w:val="21"/>
          <w:highlight w:val="none"/>
          <w:lang w:eastAsia="zh-TW"/>
        </w:rPr>
      </w:pPr>
      <w:r>
        <w:rPr>
          <w:rFonts w:hint="eastAsia" w:ascii="宋体" w:hAnsi="宋体" w:cs="宋体"/>
          <w:color w:val="auto"/>
          <w:szCs w:val="21"/>
          <w:highlight w:val="none"/>
          <w:lang w:eastAsia="zh-TW"/>
        </w:rPr>
        <w:t>开标时，由投标人或者其推选的代表检查投标文件的密封情况；经确认无误后，由采购人或者采购代理机构工作人员当众拆封，宣布投标人名称、投标价格和招标文件规定的需要宣布的其他内容。</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开标过程应当由采购人或者采购代理机构负责记录，由参加开标的各投标人代表和相关工作人员签字确认。</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投标人未参加开标的，视同认可开标结果。</w:t>
      </w:r>
    </w:p>
    <w:p>
      <w:pPr>
        <w:pStyle w:val="81"/>
        <w:widowControl/>
        <w:numPr>
          <w:ilvl w:val="0"/>
          <w:numId w:val="20"/>
        </w:numPr>
        <w:spacing w:line="360" w:lineRule="auto"/>
        <w:ind w:firstLineChars="0"/>
        <w:jc w:val="left"/>
        <w:rPr>
          <w:rFonts w:ascii="宋体" w:hAnsi="宋体" w:cs="宋体"/>
          <w:color w:val="auto"/>
          <w:highlight w:val="none"/>
        </w:rPr>
      </w:pPr>
      <w:r>
        <w:rPr>
          <w:rFonts w:hint="eastAsia" w:ascii="宋体" w:hAnsi="宋体" w:cs="宋体"/>
          <w:color w:val="auto"/>
          <w:highlight w:val="none"/>
        </w:rPr>
        <w:t>评标委员会的组成</w:t>
      </w:r>
    </w:p>
    <w:p>
      <w:pPr>
        <w:pStyle w:val="81"/>
        <w:widowControl/>
        <w:numPr>
          <w:ilvl w:val="1"/>
          <w:numId w:val="20"/>
        </w:numPr>
        <w:spacing w:line="360" w:lineRule="auto"/>
        <w:ind w:firstLineChars="0"/>
        <w:jc w:val="left"/>
        <w:rPr>
          <w:rFonts w:ascii="宋体" w:hAnsi="宋体" w:cs="宋体"/>
          <w:color w:val="auto"/>
          <w:highlight w:val="none"/>
        </w:rPr>
      </w:pPr>
      <w:r>
        <w:rPr>
          <w:rFonts w:hint="eastAsia" w:ascii="宋体" w:hAnsi="宋体" w:cs="宋体"/>
          <w:b/>
          <w:bCs/>
          <w:color w:val="auto"/>
          <w:szCs w:val="21"/>
          <w:highlight w:val="none"/>
          <w:lang w:eastAsia="zh-TW"/>
        </w:rPr>
        <w:t>本次招标依法组建评标委员会，评标委员会成员人数详见投</w:t>
      </w:r>
      <w:r>
        <w:rPr>
          <w:rFonts w:hint="eastAsia" w:ascii="宋体" w:hAnsi="宋体" w:cs="宋体"/>
          <w:b/>
          <w:bCs/>
          <w:color w:val="auto"/>
          <w:szCs w:val="21"/>
          <w:highlight w:val="none"/>
        </w:rPr>
        <w:t>标资料</w:t>
      </w:r>
      <w:r>
        <w:rPr>
          <w:rFonts w:hint="eastAsia" w:ascii="宋体" w:hAnsi="宋体" w:cs="宋体"/>
          <w:b/>
          <w:bCs/>
          <w:color w:val="auto"/>
          <w:szCs w:val="21"/>
          <w:highlight w:val="none"/>
          <w:lang w:eastAsia="zh-TW"/>
        </w:rPr>
        <w:t>表。</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评标委员会成员名单在评标结果公告前应当保密。评审专家有下列情形之一的，受到邀请应主动提出回避，采购当事人也可以要求该评审专家回避：</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参加采购活动前3年内与供应商存在劳动关系；</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参加采购活动前3年内担任供应商的董事</w:t>
      </w:r>
      <w:r>
        <w:rPr>
          <w:rFonts w:hint="eastAsia" w:ascii="宋体" w:hAnsi="宋体" w:cs="宋体"/>
          <w:color w:val="auto"/>
          <w:szCs w:val="21"/>
          <w:highlight w:val="none"/>
        </w:rPr>
        <w:t>或</w:t>
      </w:r>
      <w:r>
        <w:rPr>
          <w:rFonts w:hint="eastAsia" w:ascii="宋体" w:hAnsi="宋体" w:cs="宋体"/>
          <w:color w:val="auto"/>
          <w:szCs w:val="21"/>
          <w:highlight w:val="none"/>
          <w:lang w:eastAsia="zh-TW"/>
        </w:rPr>
        <w:t>监事；</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参加采购活动前3年内是供应商的控股股东或者实际控制人；</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与供应商的法定代表人或者负责人有夫妻、直系血亲、三代以内旁系血亲或者近姻亲关系；</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与供应商有其他可能影响政府采购活动公平、公正进行的关系。</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评标委员会成员和参与评标的有关工作人员不得透露对投标文件的评审和比较、中标候选人的推荐情况以及与评标有关的其他情况。</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评标委员会负责具体评标事务，并独立履行下列职责：</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审查、评价投标文件是否符合招标文件的商务、技术等实质性要求；</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要求投标人对投标文件有关事项作出澄清或者说明；</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对投标文件进行比较和评价；</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确定中标候选人名单，以及根据采购人委托直接确定中标人；</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向采购人、采购代理机构或者有关部门报告评标中发现的违法行为。</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对于投标文件中含义不明确、同类问题表述不一致或者有明显文字和计算错误的内容，评标委员会应当以书面形式要求投标人作出必要的澄清、说明或者补正。</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评标委员会决定投标的响应性只根据投标文件本身的真实无误的内容，而不依据外部的证据，但投标有不真实不正确的内容时除外。</w:t>
      </w:r>
    </w:p>
    <w:p>
      <w:pPr>
        <w:pStyle w:val="81"/>
        <w:widowControl/>
        <w:numPr>
          <w:ilvl w:val="0"/>
          <w:numId w:val="20"/>
        </w:numPr>
        <w:spacing w:line="360" w:lineRule="auto"/>
        <w:ind w:firstLineChars="0"/>
        <w:jc w:val="left"/>
        <w:rPr>
          <w:rFonts w:ascii="宋体" w:hAnsi="宋体" w:cs="宋体"/>
          <w:b/>
          <w:color w:val="auto"/>
          <w:highlight w:val="none"/>
        </w:rPr>
      </w:pPr>
      <w:r>
        <w:rPr>
          <w:rFonts w:hint="eastAsia" w:ascii="宋体" w:hAnsi="宋体" w:cs="宋体"/>
          <w:b/>
          <w:color w:val="auto"/>
          <w:highlight w:val="none"/>
        </w:rPr>
        <w:t>评标</w:t>
      </w:r>
    </w:p>
    <w:p>
      <w:pPr>
        <w:pStyle w:val="81"/>
        <w:widowControl/>
        <w:numPr>
          <w:ilvl w:val="1"/>
          <w:numId w:val="20"/>
        </w:numPr>
        <w:spacing w:line="360" w:lineRule="auto"/>
        <w:ind w:firstLineChars="0"/>
        <w:jc w:val="left"/>
        <w:rPr>
          <w:rFonts w:ascii="宋体" w:hAnsi="宋体" w:cs="宋体"/>
          <w:b/>
          <w:bCs/>
          <w:color w:val="auto"/>
          <w:szCs w:val="21"/>
          <w:highlight w:val="none"/>
        </w:rPr>
      </w:pPr>
      <w:r>
        <w:rPr>
          <w:rFonts w:hint="eastAsia" w:ascii="宋体" w:hAnsi="宋体" w:cs="宋体"/>
          <w:b/>
          <w:bCs/>
          <w:color w:val="auto"/>
          <w:szCs w:val="21"/>
          <w:highlight w:val="none"/>
        </w:rPr>
        <w:t>本项目按照投标资料表规定的评标方法进行评审。</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3.1.1综合评分法：</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b/>
          <w:bCs/>
          <w:color w:val="auto"/>
          <w:szCs w:val="21"/>
          <w:highlight w:val="none"/>
        </w:rPr>
        <w:t>1)综合评分法，</w:t>
      </w:r>
      <w:r>
        <w:rPr>
          <w:rFonts w:hint="eastAsia" w:ascii="宋体" w:hAnsi="宋体" w:cs="宋体"/>
          <w:color w:val="auto"/>
          <w:szCs w:val="21"/>
          <w:highlight w:val="none"/>
        </w:rPr>
        <w:t>是指投标文件满足招标文件全部实质性要求，且按照评审因素的量化指标评审得分最高的投标人为中标候选人的评标方法。</w:t>
      </w:r>
    </w:p>
    <w:p>
      <w:pPr>
        <w:pStyle w:val="81"/>
        <w:widowControl/>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2)评标步骤：</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①资格性审查：开标结束后，采购人或者采购代理机构依法对投标人的资格进行审查，详见《资格性审查表》。未通过资格性审查的投标人，不进入符合性审查。</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②符合性审查：评标委员会应当对通过资格性审查的投标人的投标文件进行符合性审查，详见《符合性审查表》，以确定其是否满足招标文件的实质性要求。未通过符合性审查的投标人，不进入技术、商务和价格评审。</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③详细评审：评标委员会对符合性审查合格的投标文件进行技术、商务评估，综合比较与评价。具体技术、商务、价格部分的评审因素详见《综合评分表》。</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④评标过程中，不得去掉报价中的最高报价和最低报价。</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⑤评标时，评标委员会各成员应当独立对每个投标人的投标文件进行评价，并汇总每个投标人的得分。</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⑥综合得分=技术得分+商务得分+价格得分。</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3.1.2最低评标价法：</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b/>
          <w:bCs/>
          <w:color w:val="auto"/>
          <w:szCs w:val="21"/>
          <w:highlight w:val="none"/>
        </w:rPr>
        <w:t>1)最低评标价法，</w:t>
      </w:r>
      <w:r>
        <w:rPr>
          <w:rFonts w:hint="eastAsia" w:ascii="宋体" w:hAnsi="宋体" w:cs="宋体"/>
          <w:color w:val="auto"/>
          <w:szCs w:val="21"/>
          <w:highlight w:val="none"/>
        </w:rPr>
        <w:t>是指投标文件满足招标文件全部实质性要求，且投标报价最低的投标人为中标候选人的评标方法。</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2)评标步骤：</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①资格性审查：开标结束后，采购人或者采购代理机构应当依法对投标人的资格进行审查，详见《资格性审查表》。未通过资格性审查的投标人，不进入符合性审查。</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②符合性审查：评标委员会应当对通过资格性审查的投标人的投标文件进行符合性审查，详见《符合性审查表》，以确定其是否满足招标文件的实质性要求。未通过符合性审查的投标人，不进入价格评审。</w:t>
      </w:r>
    </w:p>
    <w:p>
      <w:pPr>
        <w:pStyle w:val="81"/>
        <w:widowControl/>
        <w:numPr>
          <w:ilvl w:val="1"/>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投标文件报价出现前后不一致的，按照下列规定修正：</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投标文件中开标一览表（报价表）内容与投标文件中相应内容不一致的，以开标一览表（报价表）为准；</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大写金额和小写金额不一致的，以大写金额为准；</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单价金额小数点或者百分比有明显错位的，以开标一览表的总价为准，并修改单价；</w:t>
      </w:r>
    </w:p>
    <w:p>
      <w:pPr>
        <w:pStyle w:val="81"/>
        <w:widowControl/>
        <w:numPr>
          <w:ilvl w:val="2"/>
          <w:numId w:val="20"/>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总价金额与按单价汇总金额不一致的，以单价金额计算结果为准。</w:t>
      </w:r>
    </w:p>
    <w:p>
      <w:pPr>
        <w:widowControl/>
        <w:spacing w:line="360" w:lineRule="auto"/>
        <w:ind w:firstLine="422" w:firstLineChars="200"/>
        <w:jc w:val="left"/>
        <w:rPr>
          <w:rFonts w:ascii="宋体" w:hAnsi="宋体" w:cs="宋体"/>
          <w:b/>
          <w:color w:val="auto"/>
          <w:szCs w:val="21"/>
          <w:highlight w:val="none"/>
          <w:lang w:eastAsia="zh-TW"/>
        </w:rPr>
      </w:pPr>
      <w:r>
        <w:rPr>
          <w:rFonts w:hint="eastAsia" w:ascii="宋体" w:hAnsi="宋体" w:cs="宋体"/>
          <w:b/>
          <w:color w:val="auto"/>
          <w:szCs w:val="21"/>
          <w:highlight w:val="none"/>
          <w:lang w:eastAsia="zh-TW"/>
        </w:rPr>
        <w:t>同时出现两种以上不一致的，按照前款规定的顺序修正。修正后的报价按照</w:t>
      </w:r>
      <w:r>
        <w:rPr>
          <w:rFonts w:hint="eastAsia" w:ascii="宋体" w:hAnsi="宋体" w:cs="宋体"/>
          <w:b/>
          <w:color w:val="auto"/>
          <w:szCs w:val="21"/>
          <w:highlight w:val="none"/>
        </w:rPr>
        <w:t>本章第2.6</w:t>
      </w:r>
      <w:r>
        <w:rPr>
          <w:rFonts w:hint="eastAsia" w:ascii="宋体" w:hAnsi="宋体" w:cs="宋体"/>
          <w:b/>
          <w:color w:val="auto"/>
          <w:szCs w:val="21"/>
          <w:highlight w:val="none"/>
          <w:lang w:eastAsia="zh-TW"/>
        </w:rPr>
        <w:t>规定经投标人确认后产生约束力，投标人不确认的，其投标无效。</w:t>
      </w:r>
    </w:p>
    <w:p>
      <w:pPr>
        <w:pStyle w:val="81"/>
        <w:widowControl/>
        <w:numPr>
          <w:ilvl w:val="1"/>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价格评审：除了算术修正和落实政府采购政策需进行的价格扣除外，不能对投标人的投标价格进行任何调整，详见《价格扣除》。</w:t>
      </w:r>
    </w:p>
    <w:p>
      <w:pPr>
        <w:pStyle w:val="81"/>
        <w:widowControl/>
        <w:numPr>
          <w:ilvl w:val="1"/>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1"/>
        <w:widowControl/>
        <w:numPr>
          <w:ilvl w:val="1"/>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81"/>
        <w:widowControl/>
        <w:numPr>
          <w:ilvl w:val="0"/>
          <w:numId w:val="20"/>
        </w:numPr>
        <w:spacing w:line="360" w:lineRule="auto"/>
        <w:ind w:firstLineChars="0"/>
        <w:jc w:val="left"/>
        <w:rPr>
          <w:rFonts w:ascii="宋体" w:hAnsi="宋体" w:cs="宋体"/>
          <w:b/>
          <w:color w:val="auto"/>
          <w:szCs w:val="21"/>
          <w:highlight w:val="none"/>
        </w:rPr>
      </w:pPr>
      <w:r>
        <w:rPr>
          <w:rFonts w:hint="eastAsia" w:ascii="宋体" w:hAnsi="宋体" w:cs="宋体"/>
          <w:b/>
          <w:color w:val="auto"/>
          <w:szCs w:val="21"/>
          <w:highlight w:val="none"/>
        </w:rPr>
        <w:t>推荐中标候选人</w:t>
      </w:r>
    </w:p>
    <w:p>
      <w:pPr>
        <w:pStyle w:val="81"/>
        <w:widowControl/>
        <w:numPr>
          <w:ilvl w:val="1"/>
          <w:numId w:val="20"/>
        </w:numPr>
        <w:spacing w:line="360" w:lineRule="auto"/>
        <w:ind w:firstLineChars="0"/>
        <w:jc w:val="left"/>
        <w:rPr>
          <w:rFonts w:ascii="宋体" w:hAnsi="宋体" w:cs="宋体"/>
          <w:b/>
          <w:bCs/>
          <w:color w:val="auto"/>
          <w:szCs w:val="21"/>
          <w:highlight w:val="none"/>
          <w:lang w:eastAsia="zh-TW"/>
        </w:rPr>
      </w:pPr>
      <w:r>
        <w:rPr>
          <w:rFonts w:hint="eastAsia" w:ascii="宋体" w:hAnsi="宋体" w:cs="宋体"/>
          <w:b/>
          <w:bCs/>
          <w:color w:val="auto"/>
          <w:szCs w:val="21"/>
          <w:highlight w:val="none"/>
          <w:lang w:eastAsia="zh-TW"/>
        </w:rPr>
        <w:t>综合评分法</w:t>
      </w:r>
      <w:r>
        <w:rPr>
          <w:rFonts w:hint="eastAsia" w:ascii="宋体" w:hAnsi="宋体" w:cs="宋体"/>
          <w:b/>
          <w:bCs/>
          <w:color w:val="auto"/>
          <w:szCs w:val="21"/>
          <w:highlight w:val="none"/>
        </w:rPr>
        <w:t>：</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4.1.1使用综合评分法的采购项目，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pPr>
        <w:pStyle w:val="81"/>
        <w:widowControl/>
        <w:spacing w:line="360" w:lineRule="auto"/>
        <w:ind w:firstLine="0" w:firstLineChars="0"/>
        <w:jc w:val="left"/>
        <w:rPr>
          <w:rFonts w:ascii="宋体" w:hAnsi="宋体" w:cs="宋体"/>
          <w:b/>
          <w:bCs/>
          <w:color w:val="auto"/>
          <w:szCs w:val="21"/>
          <w:highlight w:val="none"/>
          <w:lang w:eastAsia="zh-TW"/>
        </w:rPr>
      </w:pPr>
      <w:r>
        <w:rPr>
          <w:rFonts w:hint="eastAsia" w:ascii="宋体" w:hAnsi="宋体" w:cs="宋体"/>
          <w:color w:val="auto"/>
          <w:szCs w:val="21"/>
          <w:highlight w:val="none"/>
        </w:rPr>
        <w:t>4.1.2</w:t>
      </w:r>
      <w:r>
        <w:rPr>
          <w:rFonts w:hint="eastAsia" w:ascii="宋体" w:hAnsi="宋体" w:cs="宋体"/>
          <w:b/>
          <w:bCs/>
          <w:color w:val="auto"/>
          <w:szCs w:val="21"/>
          <w:highlight w:val="none"/>
          <w:lang w:eastAsia="zh-TW"/>
        </w:rPr>
        <w:t>凡是列入核心产品范围的，只要出现相同品牌的，均被认定为一家投标人来计算</w:t>
      </w:r>
      <w:r>
        <w:rPr>
          <w:rFonts w:hint="eastAsia" w:ascii="宋体" w:hAnsi="宋体" w:cs="宋体"/>
          <w:b/>
          <w:bCs/>
          <w:color w:val="auto"/>
          <w:szCs w:val="21"/>
          <w:highlight w:val="none"/>
        </w:rPr>
        <w:t>。</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4.1.3采用综合评分法的，评标结果按评审后得分由高到低顺序排列。得分相同的，按投标报价由低到高顺序排列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得分且投标报价相同的并列</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投标文件满足招标文件全部实质性要求，且按照评审因素的量化指标评审得分最高的投标人为排名第一的中标候选人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以此类推</w:t>
      </w:r>
      <w:r>
        <w:rPr>
          <w:rFonts w:hint="eastAsia" w:ascii="宋体" w:hAnsi="宋体" w:cs="宋体"/>
          <w:color w:val="auto"/>
          <w:szCs w:val="21"/>
          <w:highlight w:val="none"/>
        </w:rPr>
        <w:t>。</w:t>
      </w:r>
    </w:p>
    <w:p>
      <w:pPr>
        <w:pStyle w:val="81"/>
        <w:widowControl/>
        <w:numPr>
          <w:ilvl w:val="1"/>
          <w:numId w:val="20"/>
        </w:numPr>
        <w:spacing w:line="360" w:lineRule="auto"/>
        <w:ind w:firstLineChars="0"/>
        <w:jc w:val="left"/>
        <w:rPr>
          <w:rFonts w:ascii="宋体" w:hAnsi="宋体" w:cs="宋体"/>
          <w:b/>
          <w:bCs/>
          <w:color w:val="auto"/>
          <w:szCs w:val="21"/>
          <w:highlight w:val="none"/>
          <w:lang w:eastAsia="zh-TW"/>
        </w:rPr>
      </w:pPr>
      <w:r>
        <w:rPr>
          <w:rFonts w:hint="eastAsia" w:ascii="宋体" w:hAnsi="宋体" w:cs="宋体"/>
          <w:b/>
          <w:bCs/>
          <w:color w:val="auto"/>
          <w:szCs w:val="21"/>
          <w:highlight w:val="none"/>
        </w:rPr>
        <w:t>最低评标价法：</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4.2.1采用最低评标价法的采购项目，单一产品采购项目提供相同品牌产品的不同投标人参加同一合同项下投标的或非单一产品采购项目多家投标人提供的核心产品品牌相同的，以其中通过资格审查、符合性审查且报价最低的参加评标；报价相同的，由评标委员会采取随机抽取方式确定，其他投标无效。</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4.2.2采用最低评标价法的，评标结果按投标报价由低到高顺序排列。投标报价相同的并列。投标文件满足招标文件全部实质性要求且投标报价最低的投标人为排名第一的中标候选人。</w:t>
      </w:r>
    </w:p>
    <w:p>
      <w:pPr>
        <w:pStyle w:val="81"/>
        <w:widowControl/>
        <w:numPr>
          <w:ilvl w:val="1"/>
          <w:numId w:val="20"/>
        </w:numPr>
        <w:spacing w:line="360" w:lineRule="auto"/>
        <w:ind w:firstLineChars="0"/>
        <w:jc w:val="left"/>
        <w:rPr>
          <w:rFonts w:ascii="宋体" w:hAnsi="宋体" w:cs="宋体"/>
          <w:b/>
          <w:bCs/>
          <w:color w:val="auto"/>
          <w:szCs w:val="21"/>
          <w:highlight w:val="none"/>
        </w:rPr>
      </w:pPr>
      <w:r>
        <w:rPr>
          <w:rFonts w:hint="eastAsia" w:ascii="宋体" w:hAnsi="宋体" w:cs="宋体"/>
          <w:b/>
          <w:bCs/>
          <w:color w:val="auto"/>
          <w:szCs w:val="21"/>
          <w:highlight w:val="none"/>
        </w:rPr>
        <w:t>本项目按照投标资料表规定的方式推荐中标候选人、确定中标人。</w:t>
      </w:r>
    </w:p>
    <w:p>
      <w:pPr>
        <w:pStyle w:val="81"/>
        <w:widowControl/>
        <w:numPr>
          <w:ilvl w:val="0"/>
          <w:numId w:val="20"/>
        </w:numPr>
        <w:spacing w:line="360" w:lineRule="auto"/>
        <w:ind w:firstLineChars="0"/>
        <w:jc w:val="left"/>
        <w:rPr>
          <w:rFonts w:ascii="宋体" w:hAnsi="宋体" w:cs="宋体"/>
          <w:b/>
          <w:color w:val="auto"/>
          <w:szCs w:val="21"/>
          <w:highlight w:val="none"/>
        </w:rPr>
      </w:pPr>
      <w:r>
        <w:rPr>
          <w:rFonts w:hint="eastAsia" w:ascii="宋体" w:hAnsi="宋体" w:cs="宋体"/>
          <w:b/>
          <w:color w:val="auto"/>
          <w:szCs w:val="21"/>
          <w:highlight w:val="none"/>
        </w:rPr>
        <w:t>定标</w:t>
      </w:r>
    </w:p>
    <w:p>
      <w:pPr>
        <w:pStyle w:val="81"/>
        <w:widowControl/>
        <w:numPr>
          <w:ilvl w:val="1"/>
          <w:numId w:val="20"/>
        </w:numPr>
        <w:spacing w:line="360" w:lineRule="auto"/>
        <w:ind w:firstLineChars="0"/>
        <w:jc w:val="left"/>
        <w:rPr>
          <w:rFonts w:ascii="宋体" w:hAnsi="宋体" w:cs="宋体"/>
          <w:b/>
          <w:bCs/>
          <w:color w:val="auto"/>
          <w:szCs w:val="21"/>
          <w:highlight w:val="none"/>
        </w:rPr>
      </w:pPr>
      <w:r>
        <w:rPr>
          <w:rFonts w:hint="eastAsia" w:ascii="宋体" w:hAnsi="宋体" w:cs="宋体"/>
          <w:b/>
          <w:bCs/>
          <w:color w:val="auto"/>
          <w:szCs w:val="21"/>
          <w:highlight w:val="none"/>
        </w:rPr>
        <w:t>中标候选人并列的，按投标资料表规定确定中标人。</w:t>
      </w:r>
    </w:p>
    <w:p>
      <w:pPr>
        <w:pStyle w:val="81"/>
        <w:widowControl/>
        <w:numPr>
          <w:ilvl w:val="1"/>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采购代理机构提交评标报告报采购人确认，采购人在收到评标报告5个工作日内确定中标人，按照评标报告中推荐的中标候选人确定中标人，也可以事先授权评标委员会直接确定中标人。确认后采购代理机构将在刊登本项目招标公告的法定媒体上发布中标公告。</w:t>
      </w:r>
    </w:p>
    <w:p>
      <w:pPr>
        <w:pStyle w:val="81"/>
        <w:widowControl/>
        <w:numPr>
          <w:ilvl w:val="1"/>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中标人拒绝与采购人签订合同的，采购人重新开展政府采购活动。中标人放弃中标或者中标资格被依法确认无效的，采购人应当重新组织采购活动。</w:t>
      </w:r>
    </w:p>
    <w:p>
      <w:pPr>
        <w:pStyle w:val="81"/>
        <w:widowControl/>
        <w:numPr>
          <w:ilvl w:val="0"/>
          <w:numId w:val="20"/>
        </w:numPr>
        <w:spacing w:line="360" w:lineRule="auto"/>
        <w:ind w:firstLineChars="0"/>
        <w:jc w:val="left"/>
        <w:rPr>
          <w:rFonts w:ascii="宋体" w:hAnsi="宋体" w:cs="宋体"/>
          <w:b/>
          <w:color w:val="auto"/>
          <w:szCs w:val="21"/>
          <w:highlight w:val="none"/>
        </w:rPr>
      </w:pPr>
      <w:r>
        <w:rPr>
          <w:rFonts w:hint="eastAsia" w:ascii="宋体" w:hAnsi="宋体" w:cs="宋体"/>
          <w:b/>
          <w:color w:val="auto"/>
          <w:szCs w:val="21"/>
          <w:highlight w:val="none"/>
        </w:rPr>
        <w:t>特别说明</w:t>
      </w:r>
    </w:p>
    <w:p>
      <w:pPr>
        <w:pStyle w:val="81"/>
        <w:widowControl/>
        <w:numPr>
          <w:ilvl w:val="1"/>
          <w:numId w:val="20"/>
        </w:numPr>
        <w:spacing w:line="360" w:lineRule="auto"/>
        <w:ind w:firstLineChars="0"/>
        <w:jc w:val="left"/>
        <w:rPr>
          <w:rFonts w:ascii="宋体" w:hAnsi="宋体" w:cs="宋体"/>
          <w:b/>
          <w:color w:val="auto"/>
          <w:szCs w:val="21"/>
          <w:highlight w:val="none"/>
        </w:rPr>
      </w:pPr>
      <w:r>
        <w:rPr>
          <w:rFonts w:hint="eastAsia" w:ascii="宋体" w:hAnsi="宋体" w:cs="宋体"/>
          <w:b/>
          <w:color w:val="auto"/>
          <w:szCs w:val="21"/>
          <w:highlight w:val="none"/>
        </w:rPr>
        <w:t>有下列情形之一的，视为投标人串通投标，其投标无效：</w:t>
      </w:r>
    </w:p>
    <w:p>
      <w:pPr>
        <w:pStyle w:val="81"/>
        <w:widowControl/>
        <w:numPr>
          <w:ilvl w:val="2"/>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不同投标人的投标文件由同一单位或者个人编制；</w:t>
      </w:r>
    </w:p>
    <w:p>
      <w:pPr>
        <w:pStyle w:val="81"/>
        <w:widowControl/>
        <w:numPr>
          <w:ilvl w:val="2"/>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不同投标人委托同一单位或者个人办理投标事宜；</w:t>
      </w:r>
    </w:p>
    <w:p>
      <w:pPr>
        <w:pStyle w:val="81"/>
        <w:widowControl/>
        <w:numPr>
          <w:ilvl w:val="2"/>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不同投标人的投标文件载明的项目管理成员或者联系人员为同一人；</w:t>
      </w:r>
    </w:p>
    <w:p>
      <w:pPr>
        <w:pStyle w:val="81"/>
        <w:widowControl/>
        <w:numPr>
          <w:ilvl w:val="2"/>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不同投标人的投标文件异常一致或者投标报价呈规律性差异；</w:t>
      </w:r>
    </w:p>
    <w:p>
      <w:pPr>
        <w:pStyle w:val="81"/>
        <w:widowControl/>
        <w:numPr>
          <w:ilvl w:val="2"/>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不同投标人的投标文件相互混装；</w:t>
      </w:r>
    </w:p>
    <w:p>
      <w:pPr>
        <w:pStyle w:val="81"/>
        <w:widowControl/>
        <w:numPr>
          <w:ilvl w:val="2"/>
          <w:numId w:val="20"/>
        </w:numPr>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不同投标人的投标保证金从同一单位或者个人的账户转出。</w:t>
      </w:r>
    </w:p>
    <w:p>
      <w:pPr>
        <w:spacing w:line="360" w:lineRule="auto"/>
        <w:jc w:val="left"/>
        <w:rPr>
          <w:rFonts w:ascii="宋体" w:hAnsi="宋体" w:cs="宋体"/>
          <w:color w:val="auto"/>
          <w:highlight w:val="none"/>
        </w:rPr>
      </w:pPr>
      <w:r>
        <w:rPr>
          <w:rFonts w:hint="eastAsia" w:ascii="宋体" w:hAnsi="宋体" w:cs="宋体"/>
          <w:color w:val="auto"/>
          <w:highlight w:val="none"/>
        </w:rPr>
        <w:t>6.2. 投标人存在下列情况之一的，投标无效:</w:t>
      </w:r>
    </w:p>
    <w:p>
      <w:pPr>
        <w:spacing w:line="360" w:lineRule="auto"/>
        <w:jc w:val="left"/>
        <w:rPr>
          <w:rFonts w:ascii="宋体" w:hAnsi="宋体" w:cs="宋体"/>
          <w:color w:val="auto"/>
          <w:highlight w:val="none"/>
        </w:rPr>
      </w:pPr>
      <w:r>
        <w:rPr>
          <w:rFonts w:hint="eastAsia" w:ascii="宋体" w:hAnsi="宋体" w:cs="宋体"/>
          <w:color w:val="auto"/>
          <w:highlight w:val="none"/>
        </w:rPr>
        <w:t>6.2.1. 未按照招标文件的规定提交投标保证金的；</w:t>
      </w:r>
    </w:p>
    <w:p>
      <w:pPr>
        <w:spacing w:line="360" w:lineRule="auto"/>
        <w:jc w:val="left"/>
        <w:rPr>
          <w:rFonts w:ascii="宋体" w:hAnsi="宋体" w:cs="宋体"/>
          <w:color w:val="auto"/>
          <w:highlight w:val="none"/>
        </w:rPr>
      </w:pPr>
      <w:r>
        <w:rPr>
          <w:rFonts w:hint="eastAsia" w:ascii="宋体" w:hAnsi="宋体" w:cs="宋体"/>
          <w:color w:val="auto"/>
          <w:highlight w:val="none"/>
        </w:rPr>
        <w:t>6.2.2. 投标文件未按招标文件要求签署、盖章的；</w:t>
      </w:r>
    </w:p>
    <w:p>
      <w:pPr>
        <w:spacing w:line="360" w:lineRule="auto"/>
        <w:jc w:val="left"/>
        <w:rPr>
          <w:rFonts w:ascii="宋体" w:hAnsi="宋体" w:cs="宋体"/>
          <w:color w:val="auto"/>
          <w:highlight w:val="none"/>
        </w:rPr>
      </w:pPr>
      <w:r>
        <w:rPr>
          <w:rFonts w:hint="eastAsia" w:ascii="宋体" w:hAnsi="宋体" w:cs="宋体"/>
          <w:color w:val="auto"/>
          <w:highlight w:val="none"/>
        </w:rPr>
        <w:t>6.2.3. 不具备招标文件中规定的资格要求的；</w:t>
      </w:r>
    </w:p>
    <w:p>
      <w:pPr>
        <w:spacing w:line="360" w:lineRule="auto"/>
        <w:jc w:val="left"/>
        <w:rPr>
          <w:rFonts w:ascii="宋体" w:hAnsi="宋体" w:cs="宋体"/>
          <w:color w:val="auto"/>
          <w:highlight w:val="none"/>
        </w:rPr>
      </w:pPr>
      <w:r>
        <w:rPr>
          <w:rFonts w:hint="eastAsia" w:ascii="宋体" w:hAnsi="宋体" w:cs="宋体"/>
          <w:color w:val="auto"/>
          <w:highlight w:val="none"/>
        </w:rPr>
        <w:t>6.2.4. 报价超过招标文件中规定的预算金额或者最高限价的；</w:t>
      </w:r>
    </w:p>
    <w:p>
      <w:pPr>
        <w:spacing w:line="360" w:lineRule="auto"/>
        <w:jc w:val="left"/>
        <w:rPr>
          <w:rFonts w:ascii="宋体" w:hAnsi="宋体" w:cs="宋体"/>
          <w:color w:val="auto"/>
          <w:highlight w:val="none"/>
        </w:rPr>
      </w:pPr>
      <w:r>
        <w:rPr>
          <w:rFonts w:hint="eastAsia" w:ascii="宋体" w:hAnsi="宋体" w:cs="宋体"/>
          <w:color w:val="auto"/>
          <w:highlight w:val="none"/>
        </w:rPr>
        <w:t>6.2.5. 投标文件含有采购人不能接受的附加条件的;</w:t>
      </w:r>
    </w:p>
    <w:p>
      <w:pPr>
        <w:spacing w:line="360" w:lineRule="auto"/>
        <w:jc w:val="left"/>
        <w:rPr>
          <w:rFonts w:ascii="宋体" w:hAnsi="宋体" w:cs="宋体"/>
          <w:color w:val="auto"/>
          <w:highlight w:val="none"/>
        </w:rPr>
      </w:pPr>
      <w:r>
        <w:rPr>
          <w:rFonts w:hint="eastAsia" w:ascii="宋体" w:hAnsi="宋体" w:cs="宋体"/>
          <w:color w:val="auto"/>
          <w:highlight w:val="none"/>
        </w:rPr>
        <w:t>6.2.6. 法律、法规和招标文件规定的其他无效情形。</w:t>
      </w:r>
    </w:p>
    <w:p>
      <w:pPr>
        <w:spacing w:line="360" w:lineRule="auto"/>
        <w:jc w:val="left"/>
        <w:rPr>
          <w:rFonts w:ascii="宋体" w:hAnsi="宋体" w:cs="宋体"/>
          <w:color w:val="auto"/>
          <w:highlight w:val="none"/>
        </w:rPr>
      </w:pPr>
      <w:r>
        <w:rPr>
          <w:rFonts w:hint="eastAsia" w:ascii="宋体" w:hAnsi="宋体" w:cs="宋体"/>
          <w:color w:val="auto"/>
          <w:highlight w:val="none"/>
        </w:rPr>
        <w:t>6.3. 废标</w:t>
      </w:r>
    </w:p>
    <w:p>
      <w:pPr>
        <w:spacing w:line="360" w:lineRule="auto"/>
        <w:jc w:val="left"/>
        <w:rPr>
          <w:rFonts w:ascii="宋体" w:hAnsi="宋体" w:cs="宋体"/>
          <w:color w:val="auto"/>
          <w:highlight w:val="none"/>
        </w:rPr>
      </w:pPr>
      <w:r>
        <w:rPr>
          <w:rFonts w:hint="eastAsia" w:ascii="宋体" w:hAnsi="宋体" w:cs="宋体"/>
          <w:color w:val="auto"/>
          <w:highlight w:val="none"/>
        </w:rPr>
        <w:t>6.3.1. 在招标采购中，出现下列情形之一的，应予废标。</w:t>
      </w:r>
    </w:p>
    <w:p>
      <w:pPr>
        <w:spacing w:line="360" w:lineRule="auto"/>
        <w:jc w:val="left"/>
        <w:rPr>
          <w:rFonts w:ascii="宋体" w:hAnsi="宋体" w:cs="宋体"/>
          <w:color w:val="auto"/>
          <w:highlight w:val="none"/>
        </w:rPr>
      </w:pPr>
      <w:r>
        <w:rPr>
          <w:rFonts w:hint="eastAsia" w:ascii="宋体" w:hAnsi="宋体" w:cs="宋体"/>
          <w:color w:val="auto"/>
          <w:highlight w:val="none"/>
        </w:rPr>
        <w:t>6.3.2. 符合专业条件的供应商或者对招标文件作实质响应的供应商不足三家的；</w:t>
      </w:r>
    </w:p>
    <w:p>
      <w:pPr>
        <w:spacing w:line="360" w:lineRule="auto"/>
        <w:jc w:val="left"/>
        <w:rPr>
          <w:rFonts w:ascii="宋体" w:hAnsi="宋体" w:cs="宋体"/>
          <w:color w:val="auto"/>
          <w:highlight w:val="none"/>
        </w:rPr>
      </w:pPr>
      <w:r>
        <w:rPr>
          <w:rFonts w:hint="eastAsia" w:ascii="宋体" w:hAnsi="宋体" w:cs="宋体"/>
          <w:color w:val="auto"/>
          <w:highlight w:val="none"/>
        </w:rPr>
        <w:t>6.3.3. 出现影响采购公正的违法、违规行为的；</w:t>
      </w:r>
    </w:p>
    <w:p>
      <w:pPr>
        <w:spacing w:line="360" w:lineRule="auto"/>
        <w:jc w:val="left"/>
        <w:rPr>
          <w:rFonts w:ascii="宋体" w:hAnsi="宋体" w:cs="宋体"/>
          <w:color w:val="auto"/>
          <w:highlight w:val="none"/>
        </w:rPr>
      </w:pPr>
      <w:r>
        <w:rPr>
          <w:rFonts w:hint="eastAsia" w:ascii="宋体" w:hAnsi="宋体" w:cs="宋体"/>
          <w:color w:val="auto"/>
          <w:highlight w:val="none"/>
        </w:rPr>
        <w:t>6.3.4. 投标人的报价均超过了采购预算，采购人不能支付的；</w:t>
      </w:r>
    </w:p>
    <w:p>
      <w:pPr>
        <w:pStyle w:val="81"/>
        <w:widowControl/>
        <w:spacing w:line="360" w:lineRule="auto"/>
        <w:ind w:firstLine="0" w:firstLineChars="0"/>
        <w:jc w:val="left"/>
        <w:rPr>
          <w:rFonts w:ascii="宋体" w:hAnsi="宋体" w:cs="宋体"/>
          <w:color w:val="auto"/>
          <w:szCs w:val="21"/>
          <w:highlight w:val="none"/>
        </w:rPr>
      </w:pPr>
      <w:r>
        <w:rPr>
          <w:rFonts w:hint="eastAsia" w:ascii="宋体" w:hAnsi="宋体" w:cs="宋体"/>
          <w:color w:val="auto"/>
          <w:highlight w:val="none"/>
        </w:rPr>
        <w:t>6.3.5. 因重大变故，采购任务取消的。</w:t>
      </w:r>
    </w:p>
    <w:p>
      <w:pPr>
        <w:tabs>
          <w:tab w:val="left" w:pos="420"/>
          <w:tab w:val="left" w:pos="630"/>
        </w:tabs>
        <w:autoSpaceDE w:val="0"/>
        <w:autoSpaceDN w:val="0"/>
        <w:adjustRightInd w:val="0"/>
        <w:spacing w:line="360" w:lineRule="auto"/>
        <w:rPr>
          <w:rFonts w:ascii="宋体" w:hAnsi="宋体" w:cs="宋体"/>
          <w:b/>
          <w:color w:val="auto"/>
          <w:highlight w:val="none"/>
        </w:rPr>
      </w:pPr>
      <w:r>
        <w:rPr>
          <w:rFonts w:hint="eastAsia" w:ascii="宋体" w:hAnsi="宋体" w:cs="宋体"/>
          <w:b/>
          <w:color w:val="auto"/>
          <w:highlight w:val="none"/>
        </w:rPr>
        <w:t>说明：</w:t>
      </w:r>
    </w:p>
    <w:p>
      <w:pPr>
        <w:pStyle w:val="81"/>
        <w:numPr>
          <w:ilvl w:val="0"/>
          <w:numId w:val="21"/>
        </w:numPr>
        <w:tabs>
          <w:tab w:val="left" w:pos="630"/>
        </w:tabs>
        <w:autoSpaceDE w:val="0"/>
        <w:autoSpaceDN w:val="0"/>
        <w:adjustRightInd w:val="0"/>
        <w:spacing w:line="360" w:lineRule="auto"/>
        <w:ind w:left="0" w:firstLine="420"/>
        <w:rPr>
          <w:rFonts w:ascii="宋体" w:hAnsi="宋体" w:cs="宋体"/>
          <w:color w:val="auto"/>
          <w:szCs w:val="21"/>
          <w:highlight w:val="none"/>
        </w:rPr>
      </w:pPr>
      <w:r>
        <w:rPr>
          <w:rFonts w:hint="eastAsia" w:ascii="宋体" w:hAnsi="宋体" w:cs="宋体"/>
          <w:color w:val="auto"/>
          <w:szCs w:val="21"/>
          <w:highlight w:val="none"/>
        </w:rPr>
        <w:t>投标人必须严格按照《资格性审查表》、《符合性审查表》的评审内容的要求如实提供证明材料并应加盖投标人公章，若投标人不满足《资格性审查表》、《符合性审查表》中任何情形之一的，则其投标无效。</w:t>
      </w:r>
    </w:p>
    <w:p>
      <w:pPr>
        <w:pStyle w:val="81"/>
        <w:numPr>
          <w:ilvl w:val="0"/>
          <w:numId w:val="21"/>
        </w:numPr>
        <w:tabs>
          <w:tab w:val="left" w:pos="630"/>
        </w:tabs>
        <w:autoSpaceDE w:val="0"/>
        <w:autoSpaceDN w:val="0"/>
        <w:adjustRightInd w:val="0"/>
        <w:spacing w:line="360" w:lineRule="auto"/>
        <w:ind w:left="0" w:firstLine="420"/>
        <w:rPr>
          <w:rFonts w:ascii="宋体" w:hAnsi="宋体" w:cs="宋体"/>
          <w:color w:val="auto"/>
          <w:szCs w:val="21"/>
          <w:highlight w:val="none"/>
        </w:rPr>
      </w:pPr>
      <w:r>
        <w:rPr>
          <w:rFonts w:hint="eastAsia" w:ascii="宋体" w:hAnsi="宋体" w:cs="宋体"/>
          <w:color w:val="auto"/>
          <w:szCs w:val="21"/>
          <w:highlight w:val="none"/>
        </w:rPr>
        <w:t>各包组资格性、符合性审查内容详见《资格性审查表》、《符合性审查表》。（如涉及）</w:t>
      </w:r>
    </w:p>
    <w:p>
      <w:pPr>
        <w:pStyle w:val="81"/>
        <w:numPr>
          <w:ilvl w:val="0"/>
          <w:numId w:val="21"/>
        </w:numPr>
        <w:tabs>
          <w:tab w:val="left" w:pos="630"/>
        </w:tabs>
        <w:autoSpaceDE w:val="0"/>
        <w:autoSpaceDN w:val="0"/>
        <w:adjustRightInd w:val="0"/>
        <w:spacing w:line="360" w:lineRule="auto"/>
        <w:ind w:left="0" w:firstLine="420"/>
        <w:rPr>
          <w:rFonts w:ascii="宋体" w:hAnsi="宋体" w:cs="宋体"/>
          <w:color w:val="auto"/>
          <w:szCs w:val="21"/>
          <w:highlight w:val="none"/>
        </w:rPr>
      </w:pPr>
      <w:r>
        <w:rPr>
          <w:rFonts w:hint="eastAsia" w:ascii="宋体" w:hAnsi="宋体" w:cs="宋体"/>
          <w:color w:val="auto"/>
          <w:szCs w:val="21"/>
          <w:highlight w:val="none"/>
        </w:rPr>
        <w:t>技术、商务评分：评标委员会各成员分值的算术平均值（四舍五入后，小数点后保留两位有效数）。</w:t>
      </w:r>
    </w:p>
    <w:p>
      <w:pPr>
        <w:pStyle w:val="81"/>
        <w:numPr>
          <w:ilvl w:val="0"/>
          <w:numId w:val="21"/>
        </w:numPr>
        <w:tabs>
          <w:tab w:val="left" w:pos="630"/>
        </w:tabs>
        <w:autoSpaceDE w:val="0"/>
        <w:autoSpaceDN w:val="0"/>
        <w:adjustRightInd w:val="0"/>
        <w:spacing w:line="360" w:lineRule="auto"/>
        <w:ind w:left="0" w:firstLine="420"/>
        <w:rPr>
          <w:rFonts w:ascii="宋体" w:hAnsi="宋体" w:cs="宋体"/>
          <w:color w:val="auto"/>
          <w:szCs w:val="21"/>
          <w:highlight w:val="none"/>
        </w:rPr>
      </w:pPr>
      <w:r>
        <w:rPr>
          <w:rFonts w:hint="eastAsia" w:ascii="宋体" w:hAnsi="宋体" w:cs="宋体"/>
          <w:color w:val="auto"/>
          <w:szCs w:val="21"/>
          <w:highlight w:val="none"/>
        </w:rPr>
        <w:t>投标人应如实提交《综合评分表》要求提交的相关各类证明、资料等并应加盖投标人公章，投标人如未按要求提交的，该项评分为零分。</w:t>
      </w:r>
    </w:p>
    <w:p>
      <w:pPr>
        <w:adjustRightInd w:val="0"/>
        <w:snapToGrid w:val="0"/>
        <w:spacing w:line="360" w:lineRule="auto"/>
        <w:jc w:val="center"/>
        <w:outlineLvl w:val="1"/>
        <w:rPr>
          <w:rFonts w:ascii="宋体" w:hAnsi="宋体" w:cs="宋体"/>
          <w:b/>
          <w:bCs/>
          <w:color w:val="auto"/>
          <w:sz w:val="28"/>
          <w:szCs w:val="28"/>
          <w:highlight w:val="none"/>
        </w:rPr>
      </w:pPr>
      <w:bookmarkStart w:id="63" w:name="_Toc2219"/>
      <w:bookmarkStart w:id="64" w:name="_Toc6606"/>
      <w:bookmarkStart w:id="65" w:name="_Toc1449"/>
      <w:bookmarkStart w:id="66" w:name="_Toc25874"/>
      <w:r>
        <w:rPr>
          <w:rFonts w:hint="eastAsia" w:ascii="宋体" w:hAnsi="宋体" w:cs="宋体"/>
          <w:b/>
          <w:bCs/>
          <w:color w:val="auto"/>
          <w:sz w:val="28"/>
          <w:szCs w:val="28"/>
          <w:highlight w:val="none"/>
        </w:rPr>
        <w:t>资格性审查表</w:t>
      </w:r>
      <w:bookmarkEnd w:id="63"/>
      <w:bookmarkEnd w:id="64"/>
      <w:bookmarkEnd w:id="65"/>
      <w:bookmarkEnd w:id="66"/>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84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32" w:type="pct"/>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4567" w:type="pct"/>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评 审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具备《中华人民共和国政府采购法》第二十二条：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1.1</w:t>
            </w: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1.2</w:t>
            </w: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提供具备提供服务所必需的设施、人员和专业技术的能力的书面声明；（提供《投标人资格声明函》）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1.3</w:t>
            </w: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提供2020年度财务状况报告或</w:t>
            </w:r>
            <w:r>
              <w:rPr>
                <w:rFonts w:hint="eastAsia" w:ascii="宋体" w:hAnsi="宋体" w:cs="宋体"/>
                <w:color w:val="auto"/>
                <w:highlight w:val="none"/>
                <w:lang w:eastAsia="zh-CN"/>
              </w:rPr>
              <w:t>近一年（</w:t>
            </w:r>
            <w:r>
              <w:rPr>
                <w:rFonts w:hint="eastAsia" w:ascii="宋体" w:hAnsi="宋体" w:cs="宋体"/>
                <w:color w:val="auto"/>
                <w:highlight w:val="none"/>
                <w:lang w:val="en-US" w:eastAsia="zh-CN"/>
              </w:rPr>
              <w:t>投标截止时间当月往前顺推12个月</w:t>
            </w:r>
            <w:r>
              <w:rPr>
                <w:rFonts w:hint="eastAsia" w:ascii="宋体" w:hAnsi="宋体" w:cs="宋体"/>
                <w:color w:val="auto"/>
                <w:highlight w:val="none"/>
                <w:lang w:eastAsia="zh-CN"/>
              </w:rPr>
              <w:t>）的财务状况报告</w:t>
            </w:r>
            <w:r>
              <w:rPr>
                <w:rFonts w:hint="eastAsia" w:ascii="宋体" w:hAnsi="宋体" w:cs="宋体"/>
                <w:color w:val="auto"/>
                <w:highlight w:val="none"/>
              </w:rPr>
              <w:t>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1.4</w:t>
            </w:r>
          </w:p>
        </w:tc>
        <w:tc>
          <w:tcPr>
            <w:tcW w:w="4567" w:type="pct"/>
            <w:tcBorders>
              <w:tl2br w:val="nil"/>
              <w:tr2bl w:val="nil"/>
            </w:tcBorders>
            <w:vAlign w:val="center"/>
          </w:tcPr>
          <w:p>
            <w:pPr>
              <w:tabs>
                <w:tab w:val="left" w:pos="612"/>
              </w:tabs>
              <w:rPr>
                <w:rFonts w:hint="eastAsia"/>
              </w:rPr>
            </w:pPr>
            <w:r>
              <w:rPr>
                <w:rFonts w:hint="eastAsia"/>
                <w:lang w:eastAsia="zh-CN"/>
              </w:rPr>
              <w:t>提供近一年（</w:t>
            </w:r>
            <w:r>
              <w:rPr>
                <w:rFonts w:hint="eastAsia"/>
                <w:lang w:val="en-US" w:eastAsia="zh-CN"/>
              </w:rPr>
              <w:t>投标截止时间当月往前顺推12个月</w:t>
            </w:r>
            <w:r>
              <w:rPr>
                <w:rFonts w:hint="eastAsia"/>
                <w:lang w:eastAsia="zh-CN"/>
              </w:rPr>
              <w:t>）缴纳税收和社会保险</w:t>
            </w:r>
            <w:r>
              <w:rPr>
                <w:rFonts w:hint="eastAsia"/>
              </w:rPr>
              <w:t>的凭据证明材料复印件；如依法免税或不需要缴纳社会保障资金的，应提供相应文件证明；</w:t>
            </w:r>
          </w:p>
          <w:p>
            <w:pPr>
              <w:pStyle w:val="2"/>
              <w:ind w:left="0" w:leftChars="0" w:firstLine="0" w:firstLineChars="0"/>
            </w:pPr>
            <w:r>
              <w:rPr>
                <w:rFonts w:hint="eastAsia"/>
                <w:lang w:val="en-US" w:eastAsia="zh-CN"/>
              </w:rPr>
              <w:t>注：投标人的社保证明因所在地区社保查询的不同规定，如只能查询至查询日的上上月，不能提供规定社保区间的社保证明的，投标人如在投标文件中提供了投标人注册所在地（或分支机构注册所在地）政府部门的社保管理相应文件复印件或打印件，其所提供的社保可以按当地的文件要求相应顺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1.5</w:t>
            </w: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提供参加政府采购活动前3年内在经营活动中没有重大违法记录的书面声明；（提供《投标人资格声明函》）。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1.6</w:t>
            </w: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法律、法规规定其他条件。（提供《投标人资格声明函》）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为采购项目提供整体设计、规范编制或者项目管理、监理、检测等服务的供应商，不得再参加该采购项目同一合同项下的其他采购活动。（提供《投标人资格声明函》）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单位负责人为同一人或者存在直接控股、管理关系的不同供应商，不得参加同一合同项下的政府采购活动。（提供《投标人资格声明函》）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投标人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说明：①</w:t>
            </w:r>
            <w:r>
              <w:rPr>
                <w:rFonts w:hint="eastAsia" w:ascii="宋体" w:hAnsi="宋体" w:cs="宋体"/>
                <w:color w:val="auto"/>
                <w:highlight w:val="none"/>
                <w:lang w:eastAsia="zh-CN"/>
              </w:rPr>
              <w:t>以采购人、采购代理机构于投标截止日在“信用中国”网站（www.creditchina.gov.cn）及中国政府采购网(www.ccgp.gov.cn)查询结果为准</w:t>
            </w:r>
            <w:r>
              <w:rPr>
                <w:rFonts w:hint="eastAsia" w:ascii="宋体" w:hAnsi="宋体" w:cs="宋体"/>
                <w:color w:val="auto"/>
                <w:highlight w:val="none"/>
              </w:rPr>
              <w:t>，如在上述网站查询结果均显示没有相关记录，视为不存在上述不良信用记录。②采购代理机构同时对信用信息查询记录和证据截图或下载存档；③投标人为分支机构或联合体有成员为分支机构的，同时对该分支机构所属总公司（总所）进行信用记录查询，该分支机构所属总公司（总所）存在不良信用记录的，视同供应商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成功购买招标文件的供应商。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32" w:type="pct"/>
            <w:tcBorders>
              <w:tl2br w:val="nil"/>
              <w:tr2bl w:val="nil"/>
            </w:tcBorders>
            <w:vAlign w:val="center"/>
          </w:tcPr>
          <w:p>
            <w:pPr>
              <w:numPr>
                <w:ilvl w:val="0"/>
                <w:numId w:val="22"/>
              </w:numPr>
              <w:tabs>
                <w:tab w:val="left" w:pos="176"/>
                <w:tab w:val="left" w:pos="612"/>
              </w:tabs>
              <w:jc w:val="center"/>
              <w:rPr>
                <w:rFonts w:ascii="宋体" w:hAnsi="宋体" w:cs="宋体"/>
                <w:color w:val="auto"/>
                <w:highlight w:val="none"/>
              </w:rPr>
            </w:pPr>
          </w:p>
        </w:tc>
        <w:tc>
          <w:tcPr>
            <w:tcW w:w="4567"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投标人资格声明函已提交并符合招标文件要求的。</w:t>
            </w:r>
          </w:p>
        </w:tc>
      </w:tr>
    </w:tbl>
    <w:p>
      <w:pPr>
        <w:adjustRightInd w:val="0"/>
        <w:snapToGrid w:val="0"/>
        <w:spacing w:beforeLines="100" w:line="360" w:lineRule="auto"/>
        <w:jc w:val="center"/>
        <w:outlineLvl w:val="1"/>
        <w:rPr>
          <w:rFonts w:ascii="宋体" w:hAnsi="宋体" w:cs="宋体"/>
          <w:b/>
          <w:bCs/>
          <w:color w:val="auto"/>
          <w:sz w:val="28"/>
          <w:szCs w:val="28"/>
          <w:highlight w:val="none"/>
        </w:rPr>
      </w:pPr>
      <w:bookmarkStart w:id="67" w:name="_Toc11808"/>
      <w:bookmarkStart w:id="68" w:name="_Toc10066"/>
      <w:bookmarkStart w:id="69" w:name="_Toc22710"/>
      <w:bookmarkStart w:id="70" w:name="_Toc29637"/>
      <w:r>
        <w:rPr>
          <w:rFonts w:hint="eastAsia" w:ascii="宋体" w:hAnsi="宋体" w:cs="宋体"/>
          <w:b/>
          <w:bCs/>
          <w:color w:val="auto"/>
          <w:sz w:val="28"/>
          <w:szCs w:val="28"/>
          <w:highlight w:val="none"/>
        </w:rPr>
        <w:t>符合性审查表</w:t>
      </w:r>
      <w:bookmarkEnd w:id="67"/>
      <w:bookmarkEnd w:id="68"/>
      <w:bookmarkEnd w:id="69"/>
      <w:bookmarkEnd w:id="70"/>
    </w:p>
    <w:tbl>
      <w:tblPr>
        <w:tblStyle w:val="40"/>
        <w:tblW w:w="5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32" w:type="pct"/>
            <w:tcBorders>
              <w:top w:val="single" w:color="auto" w:sz="12" w:space="0"/>
              <w:left w:val="single" w:color="auto" w:sz="12" w:space="0"/>
            </w:tcBorders>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4567" w:type="pct"/>
            <w:tcBorders>
              <w:top w:val="single" w:color="auto" w:sz="12" w:space="0"/>
              <w:right w:val="single" w:color="auto" w:sz="12" w:space="0"/>
            </w:tcBorders>
            <w:vAlign w:val="center"/>
          </w:tcPr>
          <w:p>
            <w:pPr>
              <w:jc w:val="center"/>
              <w:rPr>
                <w:rFonts w:ascii="宋体" w:hAnsi="宋体" w:cs="宋体"/>
                <w:b/>
                <w:color w:val="auto"/>
                <w:highlight w:val="none"/>
              </w:rPr>
            </w:pPr>
            <w:r>
              <w:rPr>
                <w:rFonts w:hint="eastAsia" w:ascii="宋体" w:hAnsi="宋体" w:cs="宋体"/>
                <w:b/>
                <w:color w:val="auto"/>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投标函已提交并符合招标文件要求的，且投标有效期不少于招标文件中载明的投标有效期；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投标报价按照招标文件要求进行报价，报价未超过</w:t>
            </w:r>
            <w:r>
              <w:rPr>
                <w:rFonts w:hint="eastAsia" w:ascii="宋体" w:hAnsi="宋体" w:cs="宋体"/>
                <w:color w:val="auto"/>
                <w:kern w:val="0"/>
                <w:highlight w:val="none"/>
              </w:rPr>
              <w:t>本项目</w:t>
            </w:r>
            <w:r>
              <w:rPr>
                <w:rFonts w:hint="eastAsia" w:ascii="宋体" w:hAnsi="宋体" w:cs="宋体"/>
                <w:color w:val="auto"/>
                <w:highlight w:val="none"/>
              </w:rPr>
              <w:t>的最高限价的；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ind w:left="315" w:hanging="315" w:hangingChars="150"/>
              <w:jc w:val="left"/>
              <w:rPr>
                <w:rFonts w:ascii="宋体" w:hAnsi="宋体" w:cs="宋体"/>
                <w:color w:val="auto"/>
                <w:highlight w:val="none"/>
              </w:rPr>
            </w:pPr>
            <w:r>
              <w:rPr>
                <w:rFonts w:hint="eastAsia" w:ascii="宋体" w:hAnsi="宋体" w:cs="宋体"/>
                <w:color w:val="auto"/>
                <w:highlight w:val="none"/>
              </w:rPr>
              <w:t>投标文件未出现选择性报价或有附加条件报价的情形；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jc w:val="left"/>
              <w:rPr>
                <w:rFonts w:ascii="宋体" w:hAnsi="宋体" w:cs="宋体"/>
                <w:color w:val="auto"/>
                <w:highlight w:val="none"/>
              </w:rPr>
            </w:pPr>
            <w:r>
              <w:rPr>
                <w:rFonts w:hint="eastAsia" w:ascii="宋体" w:hAnsi="宋体" w:cs="宋体"/>
                <w:b/>
                <w:bCs/>
                <w:color w:val="auto"/>
                <w:szCs w:val="20"/>
                <w:highlight w:val="none"/>
              </w:rPr>
              <w:t>投标文件完全满足招标文件的实质性条款（即标注★号条款）无负偏离的</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投标文件没有采购人不能接受的附加条件的；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432" w:type="pct"/>
            <w:tcBorders>
              <w:left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right w:val="single" w:color="auto" w:sz="12" w:space="0"/>
            </w:tcBorders>
            <w:vAlign w:val="center"/>
          </w:tcPr>
          <w:p>
            <w:pPr>
              <w:rPr>
                <w:rFonts w:ascii="宋体" w:hAnsi="宋体" w:cs="宋体"/>
                <w:color w:val="auto"/>
                <w:highlight w:val="none"/>
              </w:rPr>
            </w:pPr>
            <w:r>
              <w:rPr>
                <w:rFonts w:hint="eastAsia" w:ascii="宋体" w:hAnsi="宋体" w:cs="宋体"/>
                <w:color w:val="auto"/>
                <w:highlight w:val="none"/>
              </w:rPr>
              <w:t>投标文件没有招标文件中规定的其他无效投标条款的；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32" w:type="pct"/>
            <w:tcBorders>
              <w:left w:val="single" w:color="auto" w:sz="12" w:space="0"/>
              <w:bottom w:val="single" w:color="auto" w:sz="12" w:space="0"/>
            </w:tcBorders>
            <w:vAlign w:val="center"/>
          </w:tcPr>
          <w:p>
            <w:pPr>
              <w:numPr>
                <w:ilvl w:val="0"/>
                <w:numId w:val="23"/>
              </w:numPr>
              <w:tabs>
                <w:tab w:val="left" w:pos="176"/>
                <w:tab w:val="left" w:pos="612"/>
              </w:tabs>
              <w:jc w:val="center"/>
              <w:rPr>
                <w:rFonts w:ascii="宋体" w:hAnsi="宋体" w:cs="宋体"/>
                <w:color w:val="auto"/>
                <w:highlight w:val="none"/>
              </w:rPr>
            </w:pPr>
          </w:p>
        </w:tc>
        <w:tc>
          <w:tcPr>
            <w:tcW w:w="4567" w:type="pct"/>
            <w:tcBorders>
              <w:bottom w:val="single" w:color="auto" w:sz="12" w:space="0"/>
              <w:right w:val="single" w:color="auto" w:sz="12" w:space="0"/>
            </w:tcBorders>
            <w:vAlign w:val="center"/>
          </w:tcPr>
          <w:p>
            <w:pPr>
              <w:rPr>
                <w:rFonts w:ascii="宋体" w:hAnsi="宋体" w:cs="宋体"/>
                <w:color w:val="auto"/>
                <w:highlight w:val="none"/>
              </w:rPr>
            </w:pPr>
            <w:r>
              <w:rPr>
                <w:rFonts w:hint="eastAsia" w:ascii="宋体" w:hAnsi="宋体" w:cs="宋体"/>
                <w:color w:val="auto"/>
                <w:szCs w:val="21"/>
                <w:highlight w:val="none"/>
              </w:rPr>
              <w:t>按有关法律、法规、规章不属于投标无效的。</w:t>
            </w:r>
          </w:p>
        </w:tc>
      </w:tr>
    </w:tbl>
    <w:p>
      <w:pPr>
        <w:adjustRightInd w:val="0"/>
        <w:snapToGrid w:val="0"/>
        <w:spacing w:line="360" w:lineRule="auto"/>
        <w:jc w:val="center"/>
        <w:outlineLvl w:val="1"/>
        <w:rPr>
          <w:rFonts w:ascii="宋体" w:hAnsi="宋体" w:cs="宋体"/>
          <w:color w:val="auto"/>
          <w:highlight w:val="none"/>
        </w:rPr>
      </w:pPr>
      <w:r>
        <w:rPr>
          <w:rFonts w:hint="eastAsia" w:ascii="宋体" w:hAnsi="宋体" w:cs="宋体"/>
          <w:color w:val="auto"/>
          <w:sz w:val="28"/>
          <w:szCs w:val="28"/>
          <w:highlight w:val="none"/>
        </w:rPr>
        <w:br w:type="page"/>
      </w:r>
      <w:bookmarkStart w:id="71" w:name="_Toc6032"/>
      <w:bookmarkStart w:id="72" w:name="_Toc4133"/>
      <w:bookmarkStart w:id="73" w:name="_Toc26232"/>
      <w:bookmarkStart w:id="74" w:name="_Toc19645"/>
      <w:r>
        <w:rPr>
          <w:rFonts w:hint="eastAsia" w:ascii="宋体" w:hAnsi="宋体" w:cs="宋体"/>
          <w:b/>
          <w:bCs/>
          <w:color w:val="auto"/>
          <w:sz w:val="28"/>
          <w:szCs w:val="28"/>
          <w:highlight w:val="none"/>
        </w:rPr>
        <w:t>综合评分表</w:t>
      </w:r>
      <w:bookmarkEnd w:id="71"/>
      <w:bookmarkEnd w:id="72"/>
      <w:bookmarkEnd w:id="73"/>
      <w:bookmarkEnd w:id="74"/>
    </w:p>
    <w:p>
      <w:pPr>
        <w:numPr>
          <w:ilvl w:val="0"/>
          <w:numId w:val="24"/>
        </w:numPr>
        <w:adjustRightInd w:val="0"/>
        <w:snapToGrid w:val="0"/>
        <w:spacing w:line="360" w:lineRule="auto"/>
        <w:outlineLvl w:val="2"/>
        <w:rPr>
          <w:rFonts w:ascii="宋体" w:hAnsi="宋体" w:cs="宋体"/>
          <w:b/>
          <w:bCs/>
          <w:color w:val="auto"/>
          <w:highlight w:val="none"/>
        </w:rPr>
      </w:pPr>
      <w:bookmarkStart w:id="75" w:name="_Toc1326"/>
      <w:bookmarkStart w:id="76" w:name="_Toc1493"/>
      <w:r>
        <w:rPr>
          <w:rFonts w:hint="eastAsia" w:ascii="宋体" w:hAnsi="宋体" w:cs="宋体"/>
          <w:b/>
          <w:bCs/>
          <w:color w:val="auto"/>
          <w:highlight w:val="none"/>
        </w:rPr>
        <w:t>评分总值最高为100分，技术、商务及价格评分分值分配:</w:t>
      </w:r>
      <w:bookmarkEnd w:id="75"/>
      <w:bookmarkEnd w:id="76"/>
    </w:p>
    <w:tbl>
      <w:tblPr>
        <w:tblStyle w:val="40"/>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34"/>
        <w:gridCol w:w="2401"/>
        <w:gridCol w:w="2230"/>
        <w:gridCol w:w="23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257" w:type="pct"/>
            <w:vAlign w:val="center"/>
          </w:tcPr>
          <w:p>
            <w:pPr>
              <w:jc w:val="center"/>
              <w:rPr>
                <w:rFonts w:ascii="宋体" w:hAnsi="宋体" w:cs="宋体"/>
                <w:b/>
                <w:bCs/>
                <w:color w:val="auto"/>
                <w:highlight w:val="none"/>
              </w:rPr>
            </w:pPr>
            <w:r>
              <w:rPr>
                <w:rFonts w:hint="eastAsia" w:ascii="宋体" w:hAnsi="宋体" w:cs="宋体"/>
                <w:b/>
                <w:bCs/>
                <w:color w:val="auto"/>
                <w:highlight w:val="none"/>
              </w:rPr>
              <w:t>评分项目</w:t>
            </w:r>
          </w:p>
        </w:tc>
        <w:tc>
          <w:tcPr>
            <w:tcW w:w="1293" w:type="pct"/>
            <w:vAlign w:val="center"/>
          </w:tcPr>
          <w:p>
            <w:pPr>
              <w:jc w:val="center"/>
              <w:rPr>
                <w:rFonts w:ascii="宋体" w:hAnsi="宋体" w:cs="宋体"/>
                <w:b/>
                <w:bCs/>
                <w:color w:val="auto"/>
                <w:highlight w:val="none"/>
              </w:rPr>
            </w:pPr>
            <w:r>
              <w:rPr>
                <w:rFonts w:hint="eastAsia" w:ascii="宋体" w:hAnsi="宋体" w:cs="宋体"/>
                <w:b/>
                <w:bCs/>
                <w:color w:val="auto"/>
                <w:highlight w:val="none"/>
              </w:rPr>
              <w:t>技术评分</w:t>
            </w:r>
          </w:p>
        </w:tc>
        <w:tc>
          <w:tcPr>
            <w:tcW w:w="1201" w:type="pct"/>
            <w:vAlign w:val="center"/>
          </w:tcPr>
          <w:p>
            <w:pPr>
              <w:jc w:val="center"/>
              <w:rPr>
                <w:rFonts w:ascii="宋体" w:hAnsi="宋体" w:cs="宋体"/>
                <w:b/>
                <w:bCs/>
                <w:color w:val="auto"/>
                <w:highlight w:val="none"/>
              </w:rPr>
            </w:pPr>
            <w:r>
              <w:rPr>
                <w:rFonts w:hint="eastAsia" w:ascii="宋体" w:hAnsi="宋体" w:cs="宋体"/>
                <w:b/>
                <w:bCs/>
                <w:color w:val="auto"/>
                <w:highlight w:val="none"/>
              </w:rPr>
              <w:t>商务评分</w:t>
            </w:r>
          </w:p>
        </w:tc>
        <w:tc>
          <w:tcPr>
            <w:tcW w:w="1247" w:type="pct"/>
            <w:vAlign w:val="center"/>
          </w:tcPr>
          <w:p>
            <w:pPr>
              <w:jc w:val="center"/>
              <w:rPr>
                <w:rFonts w:ascii="宋体" w:hAnsi="宋体" w:cs="宋体"/>
                <w:b/>
                <w:bCs/>
                <w:color w:val="auto"/>
                <w:highlight w:val="none"/>
              </w:rPr>
            </w:pPr>
            <w:r>
              <w:rPr>
                <w:rFonts w:hint="eastAsia" w:ascii="宋体" w:hAnsi="宋体" w:cs="宋体"/>
                <w:b/>
                <w:bCs/>
                <w:color w:val="auto"/>
                <w:highlight w:val="none"/>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pct"/>
            <w:vAlign w:val="center"/>
          </w:tcPr>
          <w:p>
            <w:pPr>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分值</w:t>
            </w:r>
          </w:p>
        </w:tc>
        <w:tc>
          <w:tcPr>
            <w:tcW w:w="1293" w:type="pct"/>
            <w:vAlign w:val="center"/>
          </w:tcPr>
          <w:p>
            <w:pPr>
              <w:jc w:val="center"/>
              <w:rPr>
                <w:rFonts w:ascii="宋体" w:hAnsi="宋体" w:cs="宋体"/>
                <w:b/>
                <w:bCs/>
                <w:color w:val="auto"/>
                <w:highlight w:val="none"/>
              </w:rPr>
            </w:pPr>
            <w:r>
              <w:rPr>
                <w:rFonts w:hint="eastAsia" w:ascii="宋体" w:hAnsi="宋体" w:cs="宋体"/>
                <w:b/>
                <w:bCs/>
                <w:color w:val="auto"/>
                <w:highlight w:val="none"/>
              </w:rPr>
              <w:t>40</w:t>
            </w:r>
          </w:p>
        </w:tc>
        <w:tc>
          <w:tcPr>
            <w:tcW w:w="1201" w:type="pct"/>
            <w:vAlign w:val="center"/>
          </w:tcPr>
          <w:p>
            <w:pPr>
              <w:jc w:val="center"/>
              <w:rPr>
                <w:rFonts w:ascii="宋体" w:hAnsi="宋体" w:cs="宋体"/>
                <w:b/>
                <w:bCs/>
                <w:color w:val="auto"/>
                <w:highlight w:val="none"/>
              </w:rPr>
            </w:pPr>
            <w:r>
              <w:rPr>
                <w:rFonts w:hint="eastAsia" w:ascii="宋体" w:hAnsi="宋体" w:cs="宋体"/>
                <w:b/>
                <w:bCs/>
                <w:color w:val="auto"/>
                <w:highlight w:val="none"/>
                <w:lang w:val="en-US" w:eastAsia="zh-CN"/>
              </w:rPr>
              <w:t>45</w:t>
            </w:r>
          </w:p>
        </w:tc>
        <w:tc>
          <w:tcPr>
            <w:tcW w:w="1247" w:type="pct"/>
            <w:vAlign w:val="center"/>
          </w:tcPr>
          <w:p>
            <w:pPr>
              <w:jc w:val="center"/>
              <w:rPr>
                <w:rFonts w:ascii="宋体" w:hAnsi="宋体" w:cs="宋体"/>
                <w:b/>
                <w:bCs/>
                <w:i/>
                <w:color w:val="auto"/>
                <w:highlight w:val="none"/>
              </w:rPr>
            </w:pPr>
            <w:r>
              <w:rPr>
                <w:rFonts w:hint="eastAsia" w:ascii="宋体" w:hAnsi="宋体" w:cs="宋体"/>
                <w:b/>
                <w:bCs/>
                <w:color w:val="auto"/>
                <w:highlight w:val="none"/>
                <w:lang w:val="en-US" w:eastAsia="zh-CN"/>
              </w:rPr>
              <w:t>15</w:t>
            </w:r>
          </w:p>
        </w:tc>
      </w:tr>
    </w:tbl>
    <w:p>
      <w:pPr>
        <w:snapToGrid w:val="0"/>
        <w:spacing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根据上述技术、商务及价格的评分及其权重分配，代入下列公式计算各投标人的综合得分。</w:t>
      </w:r>
    </w:p>
    <w:p>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综合得分= 技术评分＋商务评分＋价格评分。</w:t>
      </w:r>
    </w:p>
    <w:p>
      <w:pPr>
        <w:snapToGrid w:val="0"/>
        <w:spacing w:line="360" w:lineRule="auto"/>
        <w:ind w:firstLine="420" w:firstLineChars="200"/>
        <w:rPr>
          <w:rFonts w:ascii="宋体" w:hAnsi="宋体" w:cs="宋体"/>
          <w:color w:val="auto"/>
          <w:highlight w:val="none"/>
        </w:rPr>
      </w:pPr>
    </w:p>
    <w:p>
      <w:pPr>
        <w:numPr>
          <w:ilvl w:val="0"/>
          <w:numId w:val="24"/>
        </w:numPr>
        <w:adjustRightInd w:val="0"/>
        <w:snapToGrid w:val="0"/>
        <w:spacing w:line="360" w:lineRule="auto"/>
        <w:outlineLvl w:val="2"/>
        <w:rPr>
          <w:rFonts w:ascii="宋体" w:hAnsi="宋体" w:cs="宋体"/>
          <w:b/>
          <w:bCs/>
          <w:color w:val="auto"/>
          <w:highlight w:val="none"/>
        </w:rPr>
      </w:pPr>
      <w:bookmarkStart w:id="77" w:name="_Toc27136"/>
      <w:bookmarkStart w:id="78" w:name="_Toc1475"/>
      <w:bookmarkStart w:id="79" w:name="_Toc435514848"/>
      <w:bookmarkStart w:id="80" w:name="_Toc1352"/>
      <w:bookmarkStart w:id="81" w:name="_Toc7727"/>
      <w:bookmarkStart w:id="82" w:name="_Toc18565"/>
      <w:r>
        <w:rPr>
          <w:rFonts w:hint="eastAsia" w:ascii="宋体" w:hAnsi="宋体" w:cs="宋体"/>
          <w:b/>
          <w:bCs/>
          <w:color w:val="auto"/>
          <w:highlight w:val="none"/>
        </w:rPr>
        <w:t>技术、商务及价格评审标准</w:t>
      </w:r>
      <w:bookmarkEnd w:id="77"/>
      <w:bookmarkEnd w:id="78"/>
    </w:p>
    <w:tbl>
      <w:tblPr>
        <w:tblStyle w:val="41"/>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088"/>
        <w:gridCol w:w="689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14" w:type="pct"/>
            <w:vAlign w:val="center"/>
          </w:tcPr>
          <w:p>
            <w:pPr>
              <w:pStyle w:val="50"/>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585" w:type="pct"/>
            <w:vAlign w:val="center"/>
          </w:tcPr>
          <w:p>
            <w:pPr>
              <w:pStyle w:val="50"/>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评审因素</w:t>
            </w:r>
          </w:p>
        </w:tc>
        <w:tc>
          <w:tcPr>
            <w:tcW w:w="3705" w:type="pct"/>
            <w:vAlign w:val="center"/>
          </w:tcPr>
          <w:p>
            <w:pPr>
              <w:pStyle w:val="50"/>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评分细则</w:t>
            </w:r>
          </w:p>
        </w:tc>
        <w:tc>
          <w:tcPr>
            <w:tcW w:w="394" w:type="pct"/>
            <w:vAlign w:val="center"/>
          </w:tcPr>
          <w:p>
            <w:pPr>
              <w:ind w:left="-78" w:leftChars="-37" w:right="-73" w:rightChars="-35"/>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w:t>
            </w:r>
          </w:p>
        </w:tc>
        <w:tc>
          <w:tcPr>
            <w:tcW w:w="4685" w:type="pct"/>
            <w:gridSpan w:val="3"/>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技术部分（40分）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585" w:type="pct"/>
            <w:vAlign w:val="center"/>
          </w:tcPr>
          <w:p>
            <w:pPr>
              <w:widowControl/>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对项目理解程度</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根据投标人对</w:t>
            </w:r>
            <w:r>
              <w:rPr>
                <w:rFonts w:hint="eastAsia" w:ascii="宋体" w:hAnsi="宋体" w:eastAsia="宋体" w:cs="宋体"/>
                <w:b w:val="0"/>
                <w:bCs/>
                <w:color w:val="auto"/>
                <w:sz w:val="21"/>
                <w:szCs w:val="21"/>
                <w:highlight w:val="none"/>
                <w:lang w:val="en-US" w:eastAsia="zh-CN"/>
              </w:rPr>
              <w:t>用户</w:t>
            </w:r>
            <w:r>
              <w:rPr>
                <w:rFonts w:hint="eastAsia" w:ascii="宋体" w:hAnsi="宋体" w:eastAsia="宋体" w:cs="宋体"/>
                <w:b w:val="0"/>
                <w:bCs/>
                <w:color w:val="auto"/>
                <w:sz w:val="21"/>
                <w:szCs w:val="21"/>
                <w:highlight w:val="none"/>
              </w:rPr>
              <w:t>需求、对物业服务各项工作的重点要求的理解程度进行评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优：对</w:t>
            </w:r>
            <w:r>
              <w:rPr>
                <w:rFonts w:hint="eastAsia" w:ascii="宋体" w:hAnsi="宋体" w:eastAsia="宋体" w:cs="宋体"/>
                <w:b w:val="0"/>
                <w:bCs/>
                <w:color w:val="auto"/>
                <w:sz w:val="21"/>
                <w:szCs w:val="21"/>
                <w:highlight w:val="none"/>
                <w:lang w:val="en-US" w:eastAsia="zh-CN"/>
              </w:rPr>
              <w:t>用户</w:t>
            </w:r>
            <w:r>
              <w:rPr>
                <w:rFonts w:hint="eastAsia" w:ascii="宋体" w:hAnsi="宋体" w:eastAsia="宋体" w:cs="宋体"/>
                <w:b w:val="0"/>
                <w:bCs/>
                <w:color w:val="auto"/>
                <w:sz w:val="21"/>
                <w:szCs w:val="21"/>
                <w:highlight w:val="none"/>
              </w:rPr>
              <w:t>需求及本项目的重难点了解最全面，与之对应的管理服务措施科学合理且最符合实际需求，得5分；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良：对</w:t>
            </w:r>
            <w:r>
              <w:rPr>
                <w:rFonts w:hint="eastAsia" w:ascii="宋体" w:hAnsi="宋体" w:eastAsia="宋体" w:cs="宋体"/>
                <w:b w:val="0"/>
                <w:bCs/>
                <w:color w:val="auto"/>
                <w:sz w:val="21"/>
                <w:szCs w:val="21"/>
                <w:highlight w:val="none"/>
                <w:lang w:val="en-US" w:eastAsia="zh-CN"/>
              </w:rPr>
              <w:t>用户</w:t>
            </w:r>
            <w:r>
              <w:rPr>
                <w:rFonts w:hint="eastAsia" w:ascii="宋体" w:hAnsi="宋体" w:eastAsia="宋体" w:cs="宋体"/>
                <w:b w:val="0"/>
                <w:bCs/>
                <w:color w:val="auto"/>
                <w:sz w:val="21"/>
                <w:szCs w:val="21"/>
                <w:highlight w:val="none"/>
              </w:rPr>
              <w:t>需求及本项目的重难点了解详细，管理服务措施合理可行，</w:t>
            </w:r>
            <w:r>
              <w:rPr>
                <w:rFonts w:hint="eastAsia" w:ascii="宋体" w:hAnsi="宋体" w:eastAsia="宋体" w:cs="宋体"/>
                <w:b w:val="0"/>
                <w:bCs/>
                <w:color w:val="auto"/>
                <w:sz w:val="21"/>
                <w:szCs w:val="21"/>
                <w:highlight w:val="none"/>
                <w:lang w:val="en-US" w:eastAsia="zh-CN"/>
              </w:rPr>
              <w:t>较</w:t>
            </w:r>
            <w:r>
              <w:rPr>
                <w:rFonts w:hint="eastAsia" w:ascii="宋体" w:hAnsi="宋体" w:eastAsia="宋体" w:cs="宋体"/>
                <w:b w:val="0"/>
                <w:bCs/>
                <w:color w:val="auto"/>
                <w:sz w:val="21"/>
                <w:szCs w:val="21"/>
                <w:highlight w:val="none"/>
              </w:rPr>
              <w:t>切合实际需求，得3分；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中：对</w:t>
            </w:r>
            <w:r>
              <w:rPr>
                <w:rFonts w:hint="eastAsia" w:ascii="宋体" w:hAnsi="宋体" w:eastAsia="宋体" w:cs="宋体"/>
                <w:b w:val="0"/>
                <w:bCs/>
                <w:color w:val="auto"/>
                <w:sz w:val="21"/>
                <w:szCs w:val="21"/>
                <w:highlight w:val="none"/>
                <w:lang w:val="en-US" w:eastAsia="zh-CN"/>
              </w:rPr>
              <w:t>用户</w:t>
            </w:r>
            <w:r>
              <w:rPr>
                <w:rFonts w:hint="eastAsia" w:ascii="宋体" w:hAnsi="宋体" w:eastAsia="宋体" w:cs="宋体"/>
                <w:b w:val="0"/>
                <w:bCs/>
                <w:color w:val="auto"/>
                <w:sz w:val="21"/>
                <w:szCs w:val="21"/>
                <w:highlight w:val="none"/>
              </w:rPr>
              <w:t>需求及本项目的重难点基本了解，管理服务措施一般，基本</w:t>
            </w:r>
            <w:r>
              <w:rPr>
                <w:rFonts w:hint="eastAsia" w:ascii="宋体" w:hAnsi="宋体" w:eastAsia="宋体" w:cs="宋体"/>
                <w:b w:val="0"/>
                <w:bCs/>
                <w:color w:val="auto"/>
                <w:sz w:val="21"/>
                <w:szCs w:val="21"/>
                <w:highlight w:val="none"/>
                <w:lang w:val="en-US" w:eastAsia="zh-CN"/>
              </w:rPr>
              <w:t>满足</w:t>
            </w:r>
            <w:r>
              <w:rPr>
                <w:rFonts w:hint="eastAsia" w:ascii="宋体" w:hAnsi="宋体" w:eastAsia="宋体" w:cs="宋体"/>
                <w:b w:val="0"/>
                <w:bCs/>
                <w:color w:val="auto"/>
                <w:sz w:val="21"/>
                <w:szCs w:val="21"/>
                <w:highlight w:val="none"/>
              </w:rPr>
              <w:t>实际需求，得1分；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差：对</w:t>
            </w:r>
            <w:r>
              <w:rPr>
                <w:rFonts w:hint="eastAsia" w:ascii="宋体" w:hAnsi="宋体" w:eastAsia="宋体" w:cs="宋体"/>
                <w:b w:val="0"/>
                <w:bCs/>
                <w:color w:val="auto"/>
                <w:sz w:val="21"/>
                <w:szCs w:val="21"/>
                <w:highlight w:val="none"/>
                <w:lang w:val="en-US" w:eastAsia="zh-CN"/>
              </w:rPr>
              <w:t>用户</w:t>
            </w:r>
            <w:r>
              <w:rPr>
                <w:rFonts w:hint="eastAsia" w:ascii="宋体" w:hAnsi="宋体" w:eastAsia="宋体" w:cs="宋体"/>
                <w:b w:val="0"/>
                <w:bCs/>
                <w:color w:val="auto"/>
                <w:sz w:val="21"/>
                <w:szCs w:val="21"/>
                <w:highlight w:val="none"/>
              </w:rPr>
              <w:t>需求及本项目的重难点了解错误或不足，管理服务措施不合理，或无相关描述的，得0分。</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585" w:type="pct"/>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物业综合服务方案</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根据投标人对本项目制定的物业综合服务方案进行评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 xml:space="preserve">：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优：结合本项目制定的实施方案最全面、科学、可操作性最强</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得10分；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良：结合本项目制定的实施方案完整、合理、有一定可操作性</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，得7分；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中：结合本项目制定的实施方案一般、基本可行、可操作性一般</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，得3分；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差：不提供方案</w:t>
            </w:r>
            <w:r>
              <w:rPr>
                <w:rFonts w:hint="eastAsia" w:ascii="宋体" w:hAnsi="宋体" w:eastAsia="宋体" w:cs="宋体"/>
                <w:b w:val="0"/>
                <w:bCs/>
                <w:color w:val="auto"/>
                <w:sz w:val="21"/>
                <w:szCs w:val="21"/>
                <w:highlight w:val="none"/>
                <w:lang w:val="en-US" w:eastAsia="zh-CN"/>
              </w:rPr>
              <w:t>或不符合以上评审项的</w:t>
            </w:r>
            <w:r>
              <w:rPr>
                <w:rFonts w:hint="eastAsia" w:ascii="宋体" w:hAnsi="宋体" w:eastAsia="宋体" w:cs="宋体"/>
                <w:b w:val="0"/>
                <w:bCs/>
                <w:color w:val="auto"/>
                <w:sz w:val="21"/>
                <w:szCs w:val="21"/>
                <w:highlight w:val="none"/>
              </w:rPr>
              <w:t>得0分。</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585" w:type="pct"/>
            <w:vAlign w:val="center"/>
          </w:tcPr>
          <w:p>
            <w:pPr>
              <w:pStyle w:val="17"/>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应急服务预案</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根据投标人针对本项目</w:t>
            </w:r>
            <w:r>
              <w:rPr>
                <w:rFonts w:hint="eastAsia" w:ascii="宋体" w:hAnsi="宋体" w:eastAsia="宋体" w:cs="宋体"/>
                <w:b w:val="0"/>
                <w:bCs/>
                <w:color w:val="auto"/>
                <w:sz w:val="21"/>
                <w:szCs w:val="21"/>
                <w:highlight w:val="none"/>
                <w:lang w:val="en-US" w:eastAsia="zh-CN"/>
              </w:rPr>
              <w:t>制定</w:t>
            </w:r>
            <w:r>
              <w:rPr>
                <w:rFonts w:hint="eastAsia" w:ascii="宋体" w:hAnsi="宋体" w:eastAsia="宋体" w:cs="宋体"/>
                <w:b w:val="0"/>
                <w:bCs/>
                <w:color w:val="auto"/>
                <w:sz w:val="21"/>
                <w:szCs w:val="21"/>
                <w:highlight w:val="none"/>
              </w:rPr>
              <w:t>的应急服务预案（如：突发火灾事件处理、严重自然灾害事故处理等）进行</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优：针对本项目制订的综合应急服务预案最全面、科学、可操作性最强</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得5分；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良：针对本项目制订的综合应急服务预案完整、合理、有一定可操作性，得3分；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中：针对本项目制订的综合应急服务预案一般、基本可行、可操作性一般，得1分；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差：不提供预案</w:t>
            </w:r>
            <w:r>
              <w:rPr>
                <w:rFonts w:hint="eastAsia" w:ascii="宋体" w:hAnsi="宋体" w:eastAsia="宋体" w:cs="宋体"/>
                <w:b w:val="0"/>
                <w:bCs/>
                <w:color w:val="auto"/>
                <w:sz w:val="21"/>
                <w:szCs w:val="21"/>
                <w:highlight w:val="none"/>
                <w:lang w:val="en-US" w:eastAsia="zh-CN"/>
              </w:rPr>
              <w:t>或不符合以上评审项的</w:t>
            </w:r>
            <w:r>
              <w:rPr>
                <w:rFonts w:hint="eastAsia" w:ascii="宋体" w:hAnsi="宋体" w:eastAsia="宋体" w:cs="宋体"/>
                <w:b w:val="0"/>
                <w:bCs/>
                <w:color w:val="auto"/>
                <w:sz w:val="21"/>
                <w:szCs w:val="21"/>
                <w:highlight w:val="none"/>
              </w:rPr>
              <w:t>得0分。</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585" w:type="pct"/>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管理规章制度</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根据</w:t>
            </w:r>
            <w:r>
              <w:rPr>
                <w:rFonts w:hint="eastAsia" w:ascii="宋体" w:hAnsi="宋体" w:eastAsia="宋体" w:cs="宋体"/>
                <w:b w:val="0"/>
                <w:bCs/>
                <w:color w:val="auto"/>
                <w:sz w:val="21"/>
                <w:szCs w:val="21"/>
                <w:highlight w:val="none"/>
              </w:rPr>
              <w:t>投标人</w:t>
            </w:r>
            <w:r>
              <w:rPr>
                <w:rFonts w:hint="eastAsia" w:ascii="宋体" w:hAnsi="宋体" w:eastAsia="宋体" w:cs="宋体"/>
                <w:b w:val="0"/>
                <w:bCs/>
                <w:color w:val="auto"/>
                <w:sz w:val="21"/>
                <w:szCs w:val="21"/>
                <w:highlight w:val="none"/>
                <w:lang w:val="en-US" w:eastAsia="zh-CN"/>
              </w:rPr>
              <w:t>制定</w:t>
            </w:r>
            <w:r>
              <w:rPr>
                <w:rFonts w:hint="eastAsia" w:ascii="宋体" w:hAnsi="宋体" w:eastAsia="宋体" w:cs="宋体"/>
                <w:b w:val="0"/>
                <w:bCs/>
                <w:color w:val="auto"/>
                <w:sz w:val="21"/>
                <w:szCs w:val="21"/>
                <w:highlight w:val="none"/>
              </w:rPr>
              <w:t>的管理规章制度进行</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 xml:space="preserve">：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优：结合本项目制定的保密制度及其他其他管理制度最全面、完整、可操作性最强</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 xml:space="preserve">得5分；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良：结合本项目制定的保密制度及其他管理制度较全面、较完整、有一定可操作性</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 xml:space="preserve">得3分；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中：结合本项目制定的保密制度及以外的其他管理制度不够全面、操作性一般得1分；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差：不提供制度</w:t>
            </w:r>
            <w:r>
              <w:rPr>
                <w:rFonts w:hint="eastAsia" w:ascii="宋体" w:hAnsi="宋体" w:eastAsia="宋体" w:cs="宋体"/>
                <w:b w:val="0"/>
                <w:bCs/>
                <w:color w:val="auto"/>
                <w:sz w:val="21"/>
                <w:szCs w:val="21"/>
                <w:highlight w:val="none"/>
                <w:lang w:val="en-US" w:eastAsia="zh-CN"/>
              </w:rPr>
              <w:t>或不符合以上评审项的</w:t>
            </w:r>
            <w:r>
              <w:rPr>
                <w:rFonts w:hint="eastAsia" w:ascii="宋体" w:hAnsi="宋体" w:eastAsia="宋体" w:cs="宋体"/>
                <w:b w:val="0"/>
                <w:bCs/>
                <w:color w:val="auto"/>
                <w:sz w:val="21"/>
                <w:szCs w:val="21"/>
                <w:highlight w:val="none"/>
              </w:rPr>
              <w:t>得0分。</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585" w:type="pct"/>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人员培训和管理</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对投标人的人员培训和管理方案进行评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 xml:space="preserve">：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优：结合本项目制定的人员培训和管理方案最全面、完整、可操作性最强</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 xml:space="preserve">得5分；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良：结合本项目制定的人员培训和管理方案较全面；较完整、有一定可操作性</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 xml:space="preserve">得3分；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中：结合本项目制定的人员培训和管理方案不够全面、可操作性一般</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 xml:space="preserve">得1分； </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差：不提供方案</w:t>
            </w:r>
            <w:r>
              <w:rPr>
                <w:rFonts w:hint="eastAsia" w:ascii="宋体" w:hAnsi="宋体" w:eastAsia="宋体" w:cs="宋体"/>
                <w:b w:val="0"/>
                <w:bCs/>
                <w:color w:val="auto"/>
                <w:sz w:val="21"/>
                <w:szCs w:val="21"/>
                <w:highlight w:val="none"/>
                <w:lang w:val="en-US" w:eastAsia="zh-CN"/>
              </w:rPr>
              <w:t>或不符合以上评审项的</w:t>
            </w:r>
            <w:r>
              <w:rPr>
                <w:rFonts w:hint="eastAsia" w:ascii="宋体" w:hAnsi="宋体" w:eastAsia="宋体" w:cs="宋体"/>
                <w:b w:val="0"/>
                <w:bCs/>
                <w:color w:val="auto"/>
                <w:sz w:val="21"/>
                <w:szCs w:val="21"/>
                <w:highlight w:val="none"/>
              </w:rPr>
              <w:t>得0分。</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585" w:type="pct"/>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人员考核方案</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根据投标人针对公司内部各级人员制定的质量绩效满意度考核方案进行评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优：针对投标人对公司内部各级人员制定的质量绩效考核方案实用性最强，最科学合理</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，得5分；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良：针对投标人对公司内部各级人员制定的质量绩效考核方案实用性强，比较合理</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，得3分；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中：针对投标人对公司内部各级人员制定的质量绩效考核方案实用性一般</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，得1分。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差：不提供方案</w:t>
            </w:r>
            <w:r>
              <w:rPr>
                <w:rFonts w:hint="eastAsia" w:ascii="宋体" w:hAnsi="宋体" w:eastAsia="宋体" w:cs="宋体"/>
                <w:b w:val="0"/>
                <w:bCs/>
                <w:color w:val="auto"/>
                <w:sz w:val="21"/>
                <w:szCs w:val="21"/>
                <w:highlight w:val="none"/>
                <w:lang w:val="en-US" w:eastAsia="zh-CN"/>
              </w:rPr>
              <w:t>或不符合以上评审项的</w:t>
            </w:r>
            <w:r>
              <w:rPr>
                <w:rFonts w:hint="eastAsia" w:ascii="宋体" w:hAnsi="宋体" w:eastAsia="宋体" w:cs="宋体"/>
                <w:b w:val="0"/>
                <w:bCs/>
                <w:color w:val="auto"/>
                <w:sz w:val="21"/>
                <w:szCs w:val="21"/>
                <w:highlight w:val="none"/>
              </w:rPr>
              <w:t>得0分。</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w:t>
            </w:r>
          </w:p>
        </w:tc>
        <w:tc>
          <w:tcPr>
            <w:tcW w:w="585" w:type="pct"/>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交接计划</w:t>
            </w:r>
          </w:p>
        </w:tc>
        <w:tc>
          <w:tcPr>
            <w:tcW w:w="3705" w:type="pct"/>
            <w:vAlign w:val="center"/>
          </w:tcPr>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根据投标人针对本项目制定的人员交接计划的进行评</w:t>
            </w:r>
            <w:r>
              <w:rPr>
                <w:rFonts w:hint="eastAsia" w:ascii="宋体" w:hAnsi="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优：根据采购人的实际情况制定详细、清晰、合理的人员交接计划，得5分；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良：人员交接计划</w:t>
            </w:r>
            <w:r>
              <w:rPr>
                <w:rFonts w:hint="eastAsia" w:ascii="宋体" w:hAnsi="宋体" w:cs="宋体"/>
                <w:b w:val="0"/>
                <w:bCs/>
                <w:color w:val="auto"/>
                <w:sz w:val="21"/>
                <w:szCs w:val="21"/>
                <w:highlight w:val="none"/>
                <w:lang w:val="en-US" w:eastAsia="zh-CN"/>
              </w:rPr>
              <w:t>较为详细、安排尚可的</w:t>
            </w:r>
            <w:r>
              <w:rPr>
                <w:rFonts w:hint="eastAsia" w:ascii="宋体" w:hAnsi="宋体" w:eastAsia="宋体" w:cs="宋体"/>
                <w:b w:val="0"/>
                <w:bCs/>
                <w:color w:val="auto"/>
                <w:sz w:val="21"/>
                <w:szCs w:val="21"/>
                <w:highlight w:val="none"/>
              </w:rPr>
              <w:t>，得3分；</w:t>
            </w:r>
          </w:p>
          <w:p>
            <w:pPr>
              <w:pStyle w:val="16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中：人员交接计划基本可行，得1分。</w:t>
            </w:r>
          </w:p>
          <w:p>
            <w:pPr>
              <w:pStyle w:val="16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差：无相关描述</w:t>
            </w:r>
            <w:r>
              <w:rPr>
                <w:rFonts w:hint="eastAsia" w:ascii="宋体" w:hAnsi="宋体" w:cs="宋体"/>
                <w:b w:val="0"/>
                <w:bCs/>
                <w:color w:val="auto"/>
                <w:sz w:val="21"/>
                <w:szCs w:val="21"/>
                <w:highlight w:val="none"/>
                <w:lang w:val="en-US" w:eastAsia="zh-CN"/>
              </w:rPr>
              <w:t>或不符合以上评审项的</w:t>
            </w:r>
            <w:r>
              <w:rPr>
                <w:rFonts w:hint="eastAsia" w:ascii="宋体" w:hAnsi="宋体" w:eastAsia="宋体" w:cs="宋体"/>
                <w:b w:val="0"/>
                <w:bCs/>
                <w:color w:val="auto"/>
                <w:sz w:val="21"/>
                <w:szCs w:val="21"/>
                <w:highlight w:val="none"/>
              </w:rPr>
              <w:t>得0分</w:t>
            </w:r>
            <w:r>
              <w:rPr>
                <w:rFonts w:hint="eastAsia" w:ascii="宋体" w:hAnsi="宋体" w:cs="宋体"/>
                <w:b w:val="0"/>
                <w:bCs/>
                <w:color w:val="auto"/>
                <w:sz w:val="21"/>
                <w:szCs w:val="21"/>
                <w:highlight w:val="none"/>
                <w:lang w:eastAsia="zh-CN"/>
              </w:rPr>
              <w:t>。</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4" w:type="pct"/>
            <w:vAlign w:val="center"/>
          </w:tcPr>
          <w:p>
            <w:pPr>
              <w:pStyle w:val="50"/>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w:t>
            </w:r>
          </w:p>
        </w:tc>
        <w:tc>
          <w:tcPr>
            <w:tcW w:w="4685" w:type="pct"/>
            <w:gridSpan w:val="3"/>
            <w:vAlign w:val="center"/>
          </w:tcPr>
          <w:p>
            <w:pPr>
              <w:pStyle w:val="50"/>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商务部分（</w:t>
            </w:r>
            <w:r>
              <w:rPr>
                <w:rFonts w:hint="eastAsia" w:ascii="宋体" w:hAnsi="宋体" w:eastAsia="宋体" w:cs="宋体"/>
                <w:b/>
                <w:bCs w:val="0"/>
                <w:color w:val="auto"/>
                <w:sz w:val="21"/>
                <w:szCs w:val="21"/>
                <w:highlight w:val="none"/>
                <w:lang w:val="en-US" w:eastAsia="zh-CN"/>
              </w:rPr>
              <w:t>45</w:t>
            </w:r>
            <w:r>
              <w:rPr>
                <w:rFonts w:hint="eastAsia" w:ascii="宋体" w:hAnsi="宋体" w:eastAsia="宋体" w:cs="宋体"/>
                <w:b/>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585" w:type="pct"/>
            <w:vAlign w:val="center"/>
          </w:tcPr>
          <w:p>
            <w:pPr>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认证体系</w:t>
            </w:r>
          </w:p>
        </w:tc>
        <w:tc>
          <w:tcPr>
            <w:tcW w:w="3705" w:type="pct"/>
            <w:vAlign w:val="center"/>
          </w:tcPr>
          <w:p>
            <w:pPr>
              <w:jc w:val="both"/>
              <w:rPr>
                <w:rFonts w:hint="default" w:eastAsia="宋体"/>
                <w:b w:val="0"/>
                <w:bCs/>
                <w:color w:val="auto"/>
                <w:highlight w:val="none"/>
                <w:lang w:val="en-US" w:eastAsia="zh-CN"/>
              </w:rPr>
            </w:pPr>
            <w:r>
              <w:rPr>
                <w:rFonts w:hint="eastAsia" w:ascii="宋体" w:hAnsi="宋体" w:eastAsia="宋体" w:cs="宋体"/>
                <w:b w:val="0"/>
                <w:bCs/>
                <w:color w:val="auto"/>
                <w:sz w:val="21"/>
                <w:szCs w:val="21"/>
                <w:highlight w:val="none"/>
                <w:lang w:val="en-US" w:eastAsia="zh-CN"/>
              </w:rPr>
              <w:t>投标人同时具有</w:t>
            </w:r>
            <w:r>
              <w:rPr>
                <w:rFonts w:hint="eastAsia" w:ascii="宋体" w:hAnsi="宋体" w:eastAsia="宋体" w:cs="宋体"/>
                <w:b w:val="0"/>
                <w:bCs/>
                <w:color w:val="auto"/>
                <w:sz w:val="21"/>
                <w:szCs w:val="21"/>
                <w:highlight w:val="none"/>
              </w:rPr>
              <w:t>有效期内的质量管理体系认证、环境管理体系认证、职业健康安全管理体系认证、食品安全管理体系认证</w:t>
            </w:r>
            <w:r>
              <w:rPr>
                <w:rFonts w:hint="eastAsia" w:ascii="宋体" w:hAnsi="宋体" w:cs="宋体"/>
                <w:b w:val="0"/>
                <w:bCs/>
                <w:color w:val="auto"/>
                <w:sz w:val="21"/>
                <w:szCs w:val="21"/>
                <w:highlight w:val="none"/>
                <w:lang w:val="en-US" w:eastAsia="zh-CN"/>
              </w:rPr>
              <w:t>证书得8分，每缺少一项认证扣2分，最低得0分。</w:t>
            </w:r>
          </w:p>
          <w:p>
            <w:pPr>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须</w:t>
            </w:r>
            <w:r>
              <w:rPr>
                <w:rFonts w:hint="eastAsia" w:ascii="宋体" w:hAnsi="宋体" w:eastAsia="宋体" w:cs="宋体"/>
                <w:b w:val="0"/>
                <w:bCs/>
                <w:color w:val="auto"/>
                <w:sz w:val="21"/>
                <w:szCs w:val="21"/>
                <w:highlight w:val="none"/>
              </w:rPr>
              <w:t>提供以上认证的有效认证证书复印件或扫描件，</w:t>
            </w:r>
            <w:r>
              <w:rPr>
                <w:rFonts w:hint="eastAsia" w:ascii="宋体" w:hAnsi="宋体" w:eastAsia="宋体" w:cs="宋体"/>
                <w:b w:val="0"/>
                <w:bCs/>
                <w:color w:val="auto"/>
                <w:sz w:val="21"/>
                <w:szCs w:val="21"/>
                <w:highlight w:val="none"/>
                <w:lang w:val="en-US" w:eastAsia="zh-CN"/>
              </w:rPr>
              <w:t>以及</w:t>
            </w:r>
            <w:r>
              <w:rPr>
                <w:rFonts w:hint="eastAsia" w:ascii="宋体" w:hAnsi="宋体" w:eastAsia="宋体" w:cs="宋体"/>
                <w:b w:val="0"/>
                <w:bCs/>
                <w:color w:val="auto"/>
                <w:sz w:val="21"/>
                <w:szCs w:val="21"/>
                <w:highlight w:val="none"/>
              </w:rPr>
              <w:t>国家认证认可监督管理委员会官方网站（www.cnca.gov.cn）查证</w:t>
            </w:r>
            <w:r>
              <w:rPr>
                <w:rFonts w:hint="eastAsia" w:ascii="宋体" w:hAnsi="宋体" w:eastAsia="宋体" w:cs="宋体"/>
                <w:b w:val="0"/>
                <w:bCs/>
                <w:color w:val="auto"/>
                <w:sz w:val="21"/>
                <w:szCs w:val="21"/>
                <w:highlight w:val="none"/>
                <w:lang w:val="en-US" w:eastAsia="zh-CN"/>
              </w:rPr>
              <w:t>截图</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否则</w:t>
            </w:r>
            <w:r>
              <w:rPr>
                <w:rFonts w:hint="eastAsia" w:ascii="宋体" w:hAnsi="宋体" w:cs="宋体"/>
                <w:b w:val="0"/>
                <w:bCs/>
                <w:color w:val="auto"/>
                <w:sz w:val="21"/>
                <w:szCs w:val="21"/>
                <w:highlight w:val="none"/>
                <w:lang w:val="en-US" w:eastAsia="zh-CN"/>
              </w:rPr>
              <w:t>该认证不予以计列得分</w:t>
            </w:r>
            <w:r>
              <w:rPr>
                <w:rFonts w:hint="eastAsia" w:ascii="宋体" w:hAnsi="宋体" w:eastAsia="宋体" w:cs="宋体"/>
                <w:b w:val="0"/>
                <w:bCs/>
                <w:color w:val="auto"/>
                <w:sz w:val="21"/>
                <w:szCs w:val="21"/>
                <w:highlight w:val="none"/>
              </w:rPr>
              <w:t>。</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2</w:t>
            </w:r>
          </w:p>
        </w:tc>
        <w:tc>
          <w:tcPr>
            <w:tcW w:w="585" w:type="pct"/>
            <w:vAlign w:val="center"/>
          </w:tcPr>
          <w:p>
            <w:pPr>
              <w:jc w:val="cente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表彰情况</w:t>
            </w:r>
          </w:p>
        </w:tc>
        <w:tc>
          <w:tcPr>
            <w:tcW w:w="3705" w:type="pct"/>
            <w:vAlign w:val="center"/>
          </w:tcPr>
          <w:p>
            <w:pPr>
              <w:jc w:val="both"/>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考察自</w:t>
            </w:r>
            <w:r>
              <w:rPr>
                <w:rFonts w:hint="default" w:ascii="宋体" w:hAnsi="宋体" w:eastAsia="宋体" w:cs="宋体"/>
                <w:b w:val="0"/>
                <w:bCs/>
                <w:color w:val="auto"/>
                <w:sz w:val="21"/>
                <w:szCs w:val="21"/>
                <w:highlight w:val="none"/>
                <w:shd w:val="clear" w:color="auto" w:fill="auto"/>
                <w:lang w:val="en-US" w:eastAsia="zh-CN"/>
              </w:rPr>
              <w:t>201</w:t>
            </w:r>
            <w:r>
              <w:rPr>
                <w:rFonts w:hint="eastAsia" w:ascii="宋体" w:hAnsi="宋体" w:cs="宋体"/>
                <w:b w:val="0"/>
                <w:bCs/>
                <w:color w:val="auto"/>
                <w:sz w:val="21"/>
                <w:szCs w:val="21"/>
                <w:highlight w:val="none"/>
                <w:shd w:val="clear" w:color="auto" w:fill="auto"/>
                <w:lang w:val="en-US" w:eastAsia="zh-CN"/>
              </w:rPr>
              <w:t>8</w:t>
            </w:r>
            <w:r>
              <w:rPr>
                <w:rFonts w:hint="default" w:ascii="宋体" w:hAnsi="宋体" w:eastAsia="宋体" w:cs="宋体"/>
                <w:b w:val="0"/>
                <w:bCs/>
                <w:color w:val="auto"/>
                <w:sz w:val="21"/>
                <w:szCs w:val="21"/>
                <w:highlight w:val="none"/>
                <w:shd w:val="clear" w:color="auto" w:fill="auto"/>
                <w:lang w:val="en-US" w:eastAsia="zh-CN"/>
              </w:rPr>
              <w:t>年1月1日至今（以获奖证书或获奖文件颁发日期为准）</w:t>
            </w:r>
            <w:r>
              <w:rPr>
                <w:rFonts w:hint="eastAsia" w:ascii="宋体" w:hAnsi="宋体" w:eastAsia="宋体" w:cs="宋体"/>
                <w:b w:val="0"/>
                <w:bCs/>
                <w:color w:val="auto"/>
                <w:sz w:val="21"/>
                <w:szCs w:val="21"/>
                <w:highlight w:val="none"/>
                <w:shd w:val="clear" w:color="auto" w:fill="auto"/>
                <w:lang w:val="en-US" w:eastAsia="zh-CN"/>
              </w:rPr>
              <w:t>投标人所承接的物业管理服务项目获得的表彰</w:t>
            </w:r>
            <w:r>
              <w:rPr>
                <w:rFonts w:hint="default" w:ascii="宋体" w:hAnsi="宋体" w:eastAsia="宋体" w:cs="宋体"/>
                <w:b w:val="0"/>
                <w:bCs/>
                <w:color w:val="auto"/>
                <w:sz w:val="21"/>
                <w:szCs w:val="21"/>
                <w:highlight w:val="none"/>
                <w:shd w:val="clear" w:color="auto" w:fill="auto"/>
                <w:lang w:val="en-US" w:eastAsia="zh-CN"/>
              </w:rPr>
              <w:t>：</w:t>
            </w:r>
          </w:p>
          <w:p>
            <w:pPr>
              <w:jc w:val="both"/>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每</w:t>
            </w:r>
            <w:r>
              <w:rPr>
                <w:rFonts w:hint="eastAsia" w:ascii="宋体" w:hAnsi="宋体" w:cs="宋体"/>
                <w:b w:val="0"/>
                <w:bCs/>
                <w:color w:val="auto"/>
                <w:sz w:val="21"/>
                <w:szCs w:val="21"/>
                <w:highlight w:val="none"/>
                <w:shd w:val="clear" w:color="auto" w:fill="auto"/>
                <w:lang w:val="en-US" w:eastAsia="zh-CN"/>
              </w:rPr>
              <w:t>提供</w:t>
            </w:r>
            <w:r>
              <w:rPr>
                <w:rFonts w:hint="eastAsia" w:ascii="宋体" w:hAnsi="宋体" w:eastAsia="宋体" w:cs="宋体"/>
                <w:b w:val="0"/>
                <w:bCs/>
                <w:color w:val="auto"/>
                <w:sz w:val="21"/>
                <w:szCs w:val="21"/>
                <w:highlight w:val="none"/>
                <w:shd w:val="clear" w:color="auto" w:fill="auto"/>
                <w:lang w:val="en-US" w:eastAsia="zh-CN"/>
              </w:rPr>
              <w:t>1</w:t>
            </w:r>
            <w:r>
              <w:rPr>
                <w:rFonts w:hint="eastAsia" w:ascii="宋体" w:hAnsi="宋体" w:cs="宋体"/>
                <w:b w:val="0"/>
                <w:bCs/>
                <w:color w:val="auto"/>
                <w:sz w:val="21"/>
                <w:szCs w:val="21"/>
                <w:highlight w:val="none"/>
                <w:shd w:val="clear" w:color="auto" w:fill="auto"/>
                <w:lang w:val="en-US" w:eastAsia="zh-CN"/>
              </w:rPr>
              <w:t>份</w:t>
            </w:r>
            <w:r>
              <w:rPr>
                <w:rFonts w:hint="eastAsia" w:ascii="宋体" w:hAnsi="宋体" w:eastAsia="宋体" w:cs="宋体"/>
                <w:b w:val="0"/>
                <w:bCs/>
                <w:color w:val="auto"/>
                <w:sz w:val="21"/>
                <w:szCs w:val="21"/>
                <w:highlight w:val="none"/>
                <w:shd w:val="clear" w:color="auto" w:fill="auto"/>
                <w:lang w:val="en-US" w:eastAsia="zh-CN"/>
              </w:rPr>
              <w:t>表彰</w:t>
            </w:r>
            <w:r>
              <w:rPr>
                <w:rFonts w:hint="eastAsia" w:ascii="宋体" w:hAnsi="宋体" w:cs="宋体"/>
                <w:b w:val="0"/>
                <w:bCs/>
                <w:color w:val="auto"/>
                <w:sz w:val="21"/>
                <w:szCs w:val="21"/>
                <w:highlight w:val="none"/>
                <w:shd w:val="clear" w:color="auto" w:fill="auto"/>
                <w:lang w:val="en-US" w:eastAsia="zh-CN"/>
              </w:rPr>
              <w:t>材料</w:t>
            </w:r>
            <w:r>
              <w:rPr>
                <w:rFonts w:hint="eastAsia" w:ascii="宋体" w:hAnsi="宋体" w:eastAsia="宋体" w:cs="宋体"/>
                <w:b w:val="0"/>
                <w:bCs/>
                <w:color w:val="auto"/>
                <w:sz w:val="21"/>
                <w:szCs w:val="21"/>
                <w:highlight w:val="none"/>
                <w:shd w:val="clear" w:color="auto" w:fill="auto"/>
                <w:lang w:val="en-US" w:eastAsia="zh-CN"/>
              </w:rPr>
              <w:t>的得3分，最高得6分。</w:t>
            </w:r>
          </w:p>
          <w:p>
            <w:pPr>
              <w:jc w:val="both"/>
              <w:rPr>
                <w:rFonts w:hint="default" w:ascii="宋体" w:hAnsi="宋体" w:eastAsia="宋体" w:cs="宋体"/>
                <w:b w:val="0"/>
                <w:bCs/>
                <w:color w:val="auto"/>
                <w:sz w:val="21"/>
                <w:szCs w:val="21"/>
                <w:highlight w:val="none"/>
                <w:shd w:val="clear" w:color="auto" w:fill="auto"/>
                <w:lang w:val="en-US" w:eastAsia="zh-CN"/>
              </w:rPr>
            </w:pPr>
            <w:r>
              <w:rPr>
                <w:rFonts w:hint="default" w:ascii="宋体" w:hAnsi="宋体" w:eastAsia="宋体" w:cs="宋体"/>
                <w:b w:val="0"/>
                <w:bCs/>
                <w:color w:val="auto"/>
                <w:sz w:val="21"/>
                <w:szCs w:val="21"/>
                <w:highlight w:val="none"/>
                <w:shd w:val="clear" w:color="auto" w:fill="auto"/>
                <w:lang w:val="en-US" w:eastAsia="zh-CN"/>
              </w:rPr>
              <w:t>注：须提供证明材料复件印加盖投标人公章，不提供不得分。证明材料以国家、省、市人民政府或行业行政主管部门或经民政部门批准成立的相关行业协</w:t>
            </w:r>
            <w:r>
              <w:rPr>
                <w:rFonts w:hint="eastAsia" w:ascii="宋体" w:hAnsi="宋体" w:eastAsia="宋体" w:cs="宋体"/>
                <w:b w:val="0"/>
                <w:bCs/>
                <w:color w:val="auto"/>
                <w:sz w:val="21"/>
                <w:szCs w:val="21"/>
                <w:highlight w:val="none"/>
                <w:shd w:val="clear" w:color="auto" w:fill="auto"/>
                <w:lang w:val="en-US" w:eastAsia="zh-CN"/>
              </w:rPr>
              <w:t>（学）</w:t>
            </w:r>
            <w:r>
              <w:rPr>
                <w:rFonts w:hint="default" w:ascii="宋体" w:hAnsi="宋体" w:eastAsia="宋体" w:cs="宋体"/>
                <w:b w:val="0"/>
                <w:bCs/>
                <w:color w:val="auto"/>
                <w:sz w:val="21"/>
                <w:szCs w:val="21"/>
                <w:highlight w:val="none"/>
                <w:shd w:val="clear" w:color="auto" w:fill="auto"/>
                <w:lang w:val="en-US" w:eastAsia="zh-CN"/>
              </w:rPr>
              <w:t>会</w:t>
            </w:r>
            <w:r>
              <w:rPr>
                <w:rFonts w:hint="eastAsia" w:ascii="宋体" w:hAnsi="宋体" w:cs="宋体"/>
                <w:b w:val="0"/>
                <w:bCs/>
                <w:color w:val="auto"/>
                <w:sz w:val="21"/>
                <w:szCs w:val="21"/>
                <w:highlight w:val="none"/>
                <w:shd w:val="clear" w:color="auto" w:fill="auto"/>
                <w:lang w:val="en-US" w:eastAsia="zh-CN"/>
              </w:rPr>
              <w:t>等</w:t>
            </w:r>
            <w:r>
              <w:rPr>
                <w:rFonts w:hint="default" w:ascii="宋体" w:hAnsi="宋体" w:eastAsia="宋体" w:cs="宋体"/>
                <w:b w:val="0"/>
                <w:bCs/>
                <w:color w:val="auto"/>
                <w:sz w:val="21"/>
                <w:szCs w:val="21"/>
                <w:highlight w:val="none"/>
                <w:shd w:val="clear" w:color="auto" w:fill="auto"/>
                <w:lang w:val="en-US" w:eastAsia="zh-CN"/>
              </w:rPr>
              <w:t>颁发的获奖</w:t>
            </w:r>
            <w:r>
              <w:rPr>
                <w:rFonts w:hint="eastAsia" w:ascii="宋体" w:hAnsi="宋体" w:eastAsia="宋体" w:cs="宋体"/>
                <w:b w:val="0"/>
                <w:bCs/>
                <w:color w:val="auto"/>
                <w:sz w:val="21"/>
                <w:szCs w:val="21"/>
                <w:highlight w:val="none"/>
                <w:shd w:val="clear" w:color="auto" w:fill="auto"/>
                <w:lang w:val="en-US" w:eastAsia="zh-CN"/>
              </w:rPr>
              <w:t>（或表彰）</w:t>
            </w:r>
            <w:r>
              <w:rPr>
                <w:rFonts w:hint="default" w:ascii="宋体" w:hAnsi="宋体" w:eastAsia="宋体" w:cs="宋体"/>
                <w:b w:val="0"/>
                <w:bCs/>
                <w:color w:val="auto"/>
                <w:sz w:val="21"/>
                <w:szCs w:val="21"/>
                <w:highlight w:val="none"/>
                <w:shd w:val="clear" w:color="auto" w:fill="auto"/>
                <w:lang w:val="en-US" w:eastAsia="zh-CN"/>
              </w:rPr>
              <w:t>证书或获奖</w:t>
            </w:r>
            <w:r>
              <w:rPr>
                <w:rFonts w:hint="eastAsia" w:ascii="宋体" w:hAnsi="宋体" w:eastAsia="宋体" w:cs="宋体"/>
                <w:b w:val="0"/>
                <w:bCs/>
                <w:color w:val="auto"/>
                <w:sz w:val="21"/>
                <w:szCs w:val="21"/>
                <w:highlight w:val="none"/>
                <w:shd w:val="clear" w:color="auto" w:fill="auto"/>
                <w:lang w:val="en-US" w:eastAsia="zh-CN"/>
              </w:rPr>
              <w:t>（或表彰）</w:t>
            </w:r>
            <w:r>
              <w:rPr>
                <w:rFonts w:hint="default" w:ascii="宋体" w:hAnsi="宋体" w:eastAsia="宋体" w:cs="宋体"/>
                <w:b w:val="0"/>
                <w:bCs/>
                <w:color w:val="auto"/>
                <w:sz w:val="21"/>
                <w:szCs w:val="21"/>
                <w:highlight w:val="none"/>
                <w:shd w:val="clear" w:color="auto" w:fill="auto"/>
                <w:lang w:val="en-US" w:eastAsia="zh-CN"/>
              </w:rPr>
              <w:t>文件为准。</w:t>
            </w:r>
          </w:p>
        </w:tc>
        <w:tc>
          <w:tcPr>
            <w:tcW w:w="394" w:type="pct"/>
            <w:vAlign w:val="center"/>
          </w:tcPr>
          <w:p>
            <w:pPr>
              <w:autoSpaceDE w:val="0"/>
              <w:autoSpaceDN w:val="0"/>
              <w:adjustRightInd w:val="0"/>
              <w:snapToGrid w:val="0"/>
              <w:jc w:val="center"/>
              <w:rPr>
                <w:rFonts w:hint="default" w:ascii="宋体" w:hAnsi="宋体" w:eastAsia="宋体" w:cs="宋体"/>
                <w:b w:val="0"/>
                <w:bCs/>
                <w:color w:val="auto"/>
                <w:kern w:val="0"/>
                <w:sz w:val="21"/>
                <w:szCs w:val="21"/>
                <w:highlight w:val="none"/>
                <w:shd w:val="clear" w:color="auto" w:fill="auto"/>
                <w:lang w:val="en-US" w:eastAsia="zh-CN"/>
              </w:rPr>
            </w:pPr>
            <w:r>
              <w:rPr>
                <w:rFonts w:hint="eastAsia" w:ascii="宋体" w:hAnsi="宋体" w:eastAsia="宋体" w:cs="宋体"/>
                <w:b w:val="0"/>
                <w:bCs/>
                <w:color w:val="auto"/>
                <w:kern w:val="0"/>
                <w:sz w:val="21"/>
                <w:szCs w:val="21"/>
                <w:highlight w:val="none"/>
                <w:shd w:val="clear" w:color="auto" w:fil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vAlign w:val="center"/>
          </w:tcPr>
          <w:p>
            <w:pPr>
              <w:pStyle w:val="50"/>
              <w:ind w:left="0"/>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3</w:t>
            </w:r>
          </w:p>
        </w:tc>
        <w:tc>
          <w:tcPr>
            <w:tcW w:w="585" w:type="pct"/>
            <w:vAlign w:val="center"/>
          </w:tcPr>
          <w:p>
            <w:pPr>
              <w:jc w:val="center"/>
              <w:rPr>
                <w:rFonts w:hint="eastAsia" w:ascii="宋体" w:hAnsi="宋体" w:eastAsia="宋体" w:cs="宋体"/>
                <w:b w:val="0"/>
                <w:bCs/>
                <w:color w:val="auto"/>
                <w:kern w:val="2"/>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rPr>
              <w:t>人员</w:t>
            </w:r>
            <w:r>
              <w:rPr>
                <w:rFonts w:hint="eastAsia" w:ascii="宋体" w:hAnsi="宋体" w:eastAsia="宋体" w:cs="宋体"/>
                <w:b w:val="0"/>
                <w:bCs/>
                <w:color w:val="auto"/>
                <w:sz w:val="21"/>
                <w:szCs w:val="21"/>
                <w:highlight w:val="none"/>
                <w:shd w:val="clear" w:color="auto" w:fill="auto"/>
                <w:lang w:val="en-US" w:eastAsia="zh-CN"/>
              </w:rPr>
              <w:t>素质</w:t>
            </w:r>
          </w:p>
        </w:tc>
        <w:tc>
          <w:tcPr>
            <w:tcW w:w="3705" w:type="pct"/>
            <w:vAlign w:val="center"/>
          </w:tcPr>
          <w:p>
            <w:pP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1、考察</w:t>
            </w:r>
            <w:r>
              <w:rPr>
                <w:rFonts w:hint="eastAsia" w:ascii="宋体" w:hAnsi="宋体" w:cs="宋体"/>
                <w:b w:val="0"/>
                <w:bCs/>
                <w:color w:val="auto"/>
                <w:sz w:val="21"/>
                <w:szCs w:val="21"/>
                <w:highlight w:val="none"/>
                <w:shd w:val="clear" w:color="auto" w:fill="auto"/>
                <w:lang w:val="en-US" w:eastAsia="zh-CN"/>
              </w:rPr>
              <w:t>项目经理</w:t>
            </w:r>
            <w:r>
              <w:rPr>
                <w:rFonts w:hint="eastAsia" w:ascii="宋体" w:hAnsi="宋体" w:eastAsia="宋体" w:cs="宋体"/>
                <w:b w:val="0"/>
                <w:bCs/>
                <w:color w:val="auto"/>
                <w:sz w:val="21"/>
                <w:szCs w:val="21"/>
                <w:highlight w:val="none"/>
                <w:shd w:val="clear" w:color="auto" w:fill="auto"/>
                <w:lang w:val="en-US" w:eastAsia="zh-CN"/>
              </w:rPr>
              <w:t>素质</w:t>
            </w: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cs="宋体"/>
                <w:b w:val="0"/>
                <w:bCs/>
                <w:color w:val="auto"/>
                <w:sz w:val="21"/>
                <w:szCs w:val="21"/>
                <w:highlight w:val="none"/>
                <w:shd w:val="clear" w:color="auto" w:fill="auto"/>
                <w:lang w:val="en-US" w:eastAsia="zh-CN"/>
              </w:rPr>
              <w:t>最高6</w:t>
            </w:r>
            <w:r>
              <w:rPr>
                <w:rFonts w:hint="eastAsia" w:ascii="宋体" w:hAnsi="宋体" w:eastAsia="宋体" w:cs="宋体"/>
                <w:b w:val="0"/>
                <w:bCs/>
                <w:color w:val="auto"/>
                <w:sz w:val="21"/>
                <w:szCs w:val="21"/>
                <w:highlight w:val="none"/>
                <w:shd w:val="clear" w:color="auto" w:fill="auto"/>
                <w:lang w:val="en-US" w:eastAsia="zh-CN"/>
              </w:rPr>
              <w:t>分</w:t>
            </w: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eastAsia="宋体" w:cs="宋体"/>
                <w:b w:val="0"/>
                <w:bCs/>
                <w:color w:val="auto"/>
                <w:sz w:val="21"/>
                <w:szCs w:val="21"/>
                <w:highlight w:val="none"/>
                <w:shd w:val="clear" w:color="auto" w:fill="auto"/>
                <w:lang w:val="en-US" w:eastAsia="zh-CN"/>
              </w:rPr>
              <w:t>：</w:t>
            </w:r>
          </w:p>
          <w:p>
            <w:pP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w:t>
            </w:r>
            <w:r>
              <w:rPr>
                <w:rFonts w:hint="eastAsia" w:ascii="宋体" w:hAnsi="宋体" w:eastAsia="宋体" w:cs="宋体"/>
                <w:b w:val="0"/>
                <w:bCs/>
                <w:color w:val="auto"/>
                <w:sz w:val="21"/>
                <w:szCs w:val="21"/>
                <w:highlight w:val="none"/>
                <w:shd w:val="clear" w:color="auto" w:fill="auto"/>
              </w:rPr>
              <w:t>持有</w:t>
            </w:r>
            <w:r>
              <w:rPr>
                <w:rFonts w:hint="eastAsia" w:ascii="宋体" w:hAnsi="宋体" w:eastAsia="宋体" w:cs="宋体"/>
                <w:b w:val="0"/>
                <w:bCs/>
                <w:color w:val="auto"/>
                <w:sz w:val="21"/>
                <w:szCs w:val="21"/>
                <w:highlight w:val="none"/>
                <w:shd w:val="clear" w:color="auto" w:fill="auto"/>
                <w:lang w:val="en-US" w:eastAsia="zh-CN"/>
              </w:rPr>
              <w:t>有效的物业管理经理证件的，得3分；</w:t>
            </w:r>
          </w:p>
          <w:p>
            <w:pP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eastAsia="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eastAsia="宋体" w:cs="宋体"/>
                <w:b w:val="0"/>
                <w:bCs/>
                <w:color w:val="auto"/>
                <w:sz w:val="21"/>
                <w:szCs w:val="21"/>
                <w:highlight w:val="none"/>
                <w:shd w:val="clear" w:color="auto" w:fill="auto"/>
              </w:rPr>
              <w:t>持有质量管理体系内审员培训证书</w:t>
            </w:r>
            <w:r>
              <w:rPr>
                <w:rFonts w:hint="eastAsia" w:ascii="宋体" w:hAnsi="宋体" w:eastAsia="宋体" w:cs="宋体"/>
                <w:b w:val="0"/>
                <w:bCs/>
                <w:color w:val="auto"/>
                <w:sz w:val="21"/>
                <w:szCs w:val="21"/>
                <w:highlight w:val="none"/>
                <w:shd w:val="clear" w:color="auto" w:fill="auto"/>
                <w:lang w:val="en-US" w:eastAsia="zh-CN"/>
              </w:rPr>
              <w:t>或国家注册审核员</w:t>
            </w:r>
            <w:r>
              <w:rPr>
                <w:rFonts w:hint="eastAsia" w:ascii="宋体" w:hAnsi="宋体" w:cs="宋体"/>
                <w:b w:val="0"/>
                <w:bCs/>
                <w:color w:val="auto"/>
                <w:sz w:val="21"/>
                <w:szCs w:val="21"/>
                <w:highlight w:val="none"/>
                <w:shd w:val="clear" w:color="auto" w:fill="auto"/>
                <w:lang w:val="en-US" w:eastAsia="zh-CN"/>
              </w:rPr>
              <w:t>证书</w:t>
            </w:r>
            <w:r>
              <w:rPr>
                <w:rFonts w:hint="eastAsia" w:ascii="宋体" w:hAnsi="宋体" w:eastAsia="宋体" w:cs="宋体"/>
                <w:b w:val="0"/>
                <w:bCs/>
                <w:color w:val="auto"/>
                <w:sz w:val="21"/>
                <w:szCs w:val="21"/>
                <w:highlight w:val="none"/>
                <w:shd w:val="clear" w:color="auto" w:fill="auto"/>
                <w:lang w:val="en-US" w:eastAsia="zh-CN"/>
              </w:rPr>
              <w:t>的</w:t>
            </w:r>
            <w:r>
              <w:rPr>
                <w:rFonts w:hint="eastAsia" w:ascii="宋体" w:hAnsi="宋体" w:eastAsia="宋体" w:cs="宋体"/>
                <w:b w:val="0"/>
                <w:bCs/>
                <w:color w:val="auto"/>
                <w:sz w:val="21"/>
                <w:szCs w:val="21"/>
                <w:highlight w:val="none"/>
                <w:shd w:val="clear" w:color="auto" w:fill="auto"/>
              </w:rPr>
              <w:t>，得</w:t>
            </w:r>
            <w:r>
              <w:rPr>
                <w:rFonts w:hint="eastAsia" w:ascii="宋体" w:hAnsi="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分</w:t>
            </w:r>
            <w:r>
              <w:rPr>
                <w:rFonts w:hint="eastAsia" w:ascii="宋体" w:hAnsi="宋体" w:cs="宋体"/>
                <w:b w:val="0"/>
                <w:bCs/>
                <w:color w:val="auto"/>
                <w:sz w:val="21"/>
                <w:szCs w:val="21"/>
                <w:highlight w:val="none"/>
                <w:shd w:val="clear" w:color="auto" w:fill="auto"/>
                <w:lang w:eastAsia="zh-CN"/>
              </w:rPr>
              <w:t>。</w:t>
            </w:r>
          </w:p>
          <w:p>
            <w:pPr>
              <w:rPr>
                <w:rFonts w:hint="eastAsia" w:ascii="宋体" w:hAnsi="宋体" w:eastAsia="宋体" w:cs="宋体"/>
                <w:b w:val="0"/>
                <w:bCs/>
                <w:color w:val="auto"/>
                <w:sz w:val="21"/>
                <w:szCs w:val="21"/>
                <w:highlight w:val="none"/>
                <w:shd w:val="clear" w:color="auto" w:fill="auto"/>
              </w:rPr>
            </w:pPr>
          </w:p>
          <w:p>
            <w:pPr>
              <w:rPr>
                <w:rFonts w:hint="eastAsia" w:ascii="宋体" w:hAnsi="宋体" w:eastAsia="宋体" w:cs="宋体"/>
                <w:b w:val="0"/>
                <w:bCs/>
                <w:color w:val="auto"/>
                <w:sz w:val="21"/>
                <w:szCs w:val="21"/>
                <w:highlight w:val="none"/>
                <w:shd w:val="clear" w:color="auto" w:fill="auto"/>
                <w:lang w:eastAsia="zh-CN"/>
              </w:rPr>
            </w:pPr>
            <w:r>
              <w:rPr>
                <w:rFonts w:hint="eastAsia" w:ascii="宋体" w:hAnsi="宋体" w:eastAsia="宋体" w:cs="宋体"/>
                <w:b w:val="0"/>
                <w:bCs/>
                <w:color w:val="auto"/>
                <w:sz w:val="21"/>
                <w:szCs w:val="21"/>
                <w:highlight w:val="none"/>
                <w:shd w:val="clear" w:color="auto" w:fill="auto"/>
                <w:lang w:val="en-US" w:eastAsia="zh-CN"/>
              </w:rPr>
              <w:t>2、考察</w:t>
            </w:r>
            <w:r>
              <w:rPr>
                <w:rFonts w:hint="eastAsia" w:ascii="宋体" w:hAnsi="宋体" w:eastAsia="宋体" w:cs="宋体"/>
                <w:b w:val="0"/>
                <w:bCs/>
                <w:color w:val="auto"/>
                <w:sz w:val="21"/>
                <w:szCs w:val="21"/>
                <w:highlight w:val="none"/>
                <w:shd w:val="clear" w:color="auto" w:fill="auto"/>
              </w:rPr>
              <w:t>保安领班</w:t>
            </w:r>
            <w:r>
              <w:rPr>
                <w:rFonts w:hint="eastAsia" w:ascii="宋体" w:hAnsi="宋体" w:eastAsia="宋体" w:cs="宋体"/>
                <w:b w:val="0"/>
                <w:bCs/>
                <w:color w:val="auto"/>
                <w:sz w:val="21"/>
                <w:szCs w:val="21"/>
                <w:highlight w:val="none"/>
                <w:shd w:val="clear" w:color="auto" w:fill="auto"/>
                <w:lang w:val="en-US" w:eastAsia="zh-CN"/>
              </w:rPr>
              <w:t>素质</w:t>
            </w: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cs="宋体"/>
                <w:b w:val="0"/>
                <w:bCs/>
                <w:color w:val="auto"/>
                <w:sz w:val="21"/>
                <w:szCs w:val="21"/>
                <w:highlight w:val="none"/>
                <w:shd w:val="clear" w:color="auto" w:fill="auto"/>
                <w:lang w:val="en-US" w:eastAsia="zh-CN"/>
              </w:rPr>
              <w:t>最高5</w:t>
            </w:r>
            <w:r>
              <w:rPr>
                <w:rFonts w:hint="eastAsia" w:ascii="宋体" w:hAnsi="宋体" w:eastAsia="宋体" w:cs="宋体"/>
                <w:b w:val="0"/>
                <w:bCs/>
                <w:color w:val="auto"/>
                <w:sz w:val="21"/>
                <w:szCs w:val="21"/>
                <w:highlight w:val="none"/>
                <w:shd w:val="clear" w:color="auto" w:fill="auto"/>
                <w:lang w:val="en-US" w:eastAsia="zh-CN"/>
              </w:rPr>
              <w:t>分</w:t>
            </w:r>
            <w:r>
              <w:rPr>
                <w:rFonts w:hint="eastAsia" w:ascii="宋体" w:hAnsi="宋体" w:eastAsia="宋体" w:cs="宋体"/>
                <w:b w:val="0"/>
                <w:bCs/>
                <w:color w:val="auto"/>
                <w:sz w:val="21"/>
                <w:szCs w:val="21"/>
                <w:highlight w:val="none"/>
                <w:shd w:val="clear" w:color="auto" w:fill="auto"/>
                <w:lang w:eastAsia="zh-CN"/>
              </w:rPr>
              <w:t>）：</w:t>
            </w:r>
          </w:p>
          <w:p>
            <w:pP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（1）持有退伍证</w:t>
            </w:r>
            <w:r>
              <w:rPr>
                <w:rFonts w:hint="eastAsia" w:ascii="宋体" w:hAnsi="宋体" w:eastAsia="宋体" w:cs="宋体"/>
                <w:b w:val="0"/>
                <w:bCs/>
                <w:color w:val="auto"/>
                <w:sz w:val="21"/>
                <w:szCs w:val="21"/>
                <w:highlight w:val="none"/>
                <w:shd w:val="clear" w:color="auto" w:fill="auto"/>
                <w:lang w:val="en-US" w:eastAsia="zh-CN"/>
              </w:rPr>
              <w:t>的，</w:t>
            </w:r>
            <w:r>
              <w:rPr>
                <w:rFonts w:hint="eastAsia" w:ascii="宋体" w:hAnsi="宋体" w:eastAsia="宋体" w:cs="宋体"/>
                <w:b w:val="0"/>
                <w:bCs/>
                <w:color w:val="auto"/>
                <w:sz w:val="21"/>
                <w:szCs w:val="21"/>
                <w:highlight w:val="none"/>
                <w:shd w:val="clear" w:color="auto" w:fill="auto"/>
              </w:rPr>
              <w:t>得</w:t>
            </w:r>
            <w:r>
              <w:rPr>
                <w:rFonts w:hint="eastAsia" w:ascii="宋体" w:hAnsi="宋体" w:cs="宋体"/>
                <w:b w:val="0"/>
                <w:bCs/>
                <w:color w:val="auto"/>
                <w:sz w:val="21"/>
                <w:szCs w:val="21"/>
                <w:highlight w:val="none"/>
                <w:shd w:val="clear" w:color="auto" w:fill="auto"/>
                <w:lang w:val="en-US" w:eastAsia="zh-CN"/>
              </w:rPr>
              <w:t>1</w:t>
            </w:r>
            <w:r>
              <w:rPr>
                <w:rFonts w:hint="eastAsia" w:ascii="宋体" w:hAnsi="宋体" w:eastAsia="宋体" w:cs="宋体"/>
                <w:b w:val="0"/>
                <w:bCs/>
                <w:color w:val="auto"/>
                <w:sz w:val="21"/>
                <w:szCs w:val="21"/>
                <w:highlight w:val="none"/>
                <w:shd w:val="clear" w:color="auto" w:fill="auto"/>
              </w:rPr>
              <w:t>分；</w:t>
            </w:r>
          </w:p>
          <w:p>
            <w:pP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（2）持有建(构)筑物消防员或消防设施操作员证</w:t>
            </w:r>
            <w:r>
              <w:rPr>
                <w:rFonts w:hint="eastAsia" w:ascii="宋体" w:hAnsi="宋体" w:cs="宋体"/>
                <w:b w:val="0"/>
                <w:bCs/>
                <w:color w:val="auto"/>
                <w:sz w:val="21"/>
                <w:szCs w:val="21"/>
                <w:highlight w:val="none"/>
                <w:shd w:val="clear" w:color="auto" w:fill="auto"/>
                <w:lang w:val="en-US" w:eastAsia="zh-CN"/>
              </w:rPr>
              <w:t>件</w:t>
            </w:r>
            <w:r>
              <w:rPr>
                <w:rFonts w:hint="eastAsia" w:ascii="宋体" w:hAnsi="宋体" w:eastAsia="宋体" w:cs="宋体"/>
                <w:b w:val="0"/>
                <w:bCs/>
                <w:color w:val="auto"/>
                <w:sz w:val="21"/>
                <w:szCs w:val="21"/>
                <w:highlight w:val="none"/>
                <w:shd w:val="clear" w:color="auto" w:fill="auto"/>
              </w:rPr>
              <w:t>的得</w:t>
            </w:r>
            <w:r>
              <w:rPr>
                <w:rFonts w:hint="eastAsia" w:ascii="宋体" w:hAnsi="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rPr>
              <w:t>分；</w:t>
            </w:r>
          </w:p>
          <w:p>
            <w:pPr>
              <w:pStyle w:val="2"/>
              <w:ind w:left="0" w:leftChars="0" w:firstLine="0" w:firstLineChars="0"/>
              <w:rPr>
                <w:rFonts w:hint="default" w:eastAsia="宋体"/>
                <w:color w:val="auto"/>
                <w:highlight w:val="none"/>
                <w:lang w:val="en-US" w:eastAsia="zh-CN"/>
              </w:rPr>
            </w:pPr>
            <w:r>
              <w:rPr>
                <w:rFonts w:hint="eastAsia" w:ascii="宋体" w:hAnsi="宋体" w:cs="宋体"/>
                <w:b w:val="0"/>
                <w:bCs/>
                <w:color w:val="auto"/>
                <w:sz w:val="21"/>
                <w:szCs w:val="21"/>
                <w:highlight w:val="none"/>
                <w:shd w:val="clear" w:color="auto" w:fill="auto"/>
                <w:lang w:eastAsia="zh-CN"/>
              </w:rPr>
              <w:t>（</w:t>
            </w:r>
            <w:r>
              <w:rPr>
                <w:rFonts w:hint="eastAsia" w:ascii="宋体" w:hAnsi="宋体" w:cs="宋体"/>
                <w:b w:val="0"/>
                <w:bCs/>
                <w:color w:val="auto"/>
                <w:sz w:val="21"/>
                <w:szCs w:val="21"/>
                <w:highlight w:val="none"/>
                <w:shd w:val="clear" w:color="auto" w:fill="auto"/>
                <w:lang w:val="en-US" w:eastAsia="zh-CN"/>
              </w:rPr>
              <w:t>3</w:t>
            </w:r>
            <w:r>
              <w:rPr>
                <w:rFonts w:hint="eastAsia" w:ascii="宋体" w:hAnsi="宋体" w:cs="宋体"/>
                <w:b w:val="0"/>
                <w:bCs/>
                <w:color w:val="auto"/>
                <w:sz w:val="21"/>
                <w:szCs w:val="21"/>
                <w:highlight w:val="none"/>
                <w:shd w:val="clear" w:color="auto" w:fill="auto"/>
                <w:lang w:eastAsia="zh-CN"/>
              </w:rPr>
              <w:t>）</w:t>
            </w:r>
            <w:r>
              <w:rPr>
                <w:rFonts w:hint="eastAsia" w:ascii="宋体" w:hAnsi="宋体" w:cs="宋体"/>
                <w:b w:val="0"/>
                <w:bCs/>
                <w:color w:val="auto"/>
                <w:sz w:val="21"/>
                <w:szCs w:val="21"/>
                <w:highlight w:val="none"/>
                <w:shd w:val="clear" w:color="auto" w:fill="auto"/>
                <w:lang w:val="en-US" w:eastAsia="zh-CN"/>
              </w:rPr>
              <w:t>持有特种设备安全管理员（A）证书的得2分；</w:t>
            </w:r>
          </w:p>
          <w:p>
            <w:pPr>
              <w:rPr>
                <w:rFonts w:hint="eastAsia" w:ascii="宋体" w:hAnsi="宋体" w:eastAsia="宋体" w:cs="宋体"/>
                <w:b w:val="0"/>
                <w:bCs/>
                <w:color w:val="auto"/>
                <w:sz w:val="21"/>
                <w:szCs w:val="21"/>
                <w:highlight w:val="none"/>
                <w:shd w:val="clear" w:color="auto" w:fill="auto"/>
              </w:rPr>
            </w:pPr>
          </w:p>
          <w:p>
            <w:pPr>
              <w:rPr>
                <w:rFonts w:hint="eastAsia" w:ascii="宋体" w:hAnsi="宋体" w:eastAsia="宋体" w:cs="宋体"/>
                <w:b w:val="0"/>
                <w:bCs/>
                <w:color w:val="auto"/>
                <w:sz w:val="21"/>
                <w:szCs w:val="21"/>
                <w:highlight w:val="none"/>
                <w:shd w:val="clear" w:color="auto" w:fill="auto"/>
                <w:lang w:eastAsia="zh-CN"/>
              </w:rPr>
            </w:pPr>
            <w:r>
              <w:rPr>
                <w:rFonts w:hint="eastAsia" w:ascii="宋体" w:hAnsi="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lang w:val="en-US" w:eastAsia="zh-CN"/>
              </w:rPr>
              <w:t>、考察</w:t>
            </w:r>
            <w:r>
              <w:rPr>
                <w:rFonts w:hint="eastAsia" w:ascii="宋体" w:hAnsi="宋体" w:eastAsia="宋体" w:cs="宋体"/>
                <w:b w:val="0"/>
                <w:bCs/>
                <w:color w:val="auto"/>
                <w:sz w:val="21"/>
                <w:szCs w:val="21"/>
                <w:highlight w:val="none"/>
                <w:shd w:val="clear" w:color="auto" w:fill="auto"/>
              </w:rPr>
              <w:t>水电工</w:t>
            </w:r>
            <w:r>
              <w:rPr>
                <w:rFonts w:hint="eastAsia" w:ascii="宋体" w:hAnsi="宋体" w:eastAsia="宋体" w:cs="宋体"/>
                <w:b w:val="0"/>
                <w:bCs/>
                <w:color w:val="auto"/>
                <w:sz w:val="21"/>
                <w:szCs w:val="21"/>
                <w:highlight w:val="none"/>
                <w:shd w:val="clear" w:color="auto" w:fill="auto"/>
                <w:lang w:val="en-US" w:eastAsia="zh-CN"/>
              </w:rPr>
              <w:t>素质</w:t>
            </w: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cs="宋体"/>
                <w:b w:val="0"/>
                <w:bCs/>
                <w:color w:val="auto"/>
                <w:sz w:val="21"/>
                <w:szCs w:val="21"/>
                <w:highlight w:val="none"/>
                <w:shd w:val="clear" w:color="auto" w:fill="auto"/>
                <w:lang w:val="en-US" w:eastAsia="zh-CN"/>
              </w:rPr>
              <w:t>最高</w:t>
            </w:r>
            <w:r>
              <w:rPr>
                <w:rFonts w:hint="eastAsia" w:ascii="宋体" w:hAnsi="宋体" w:eastAsia="宋体" w:cs="宋体"/>
                <w:b w:val="0"/>
                <w:bCs/>
                <w:color w:val="auto"/>
                <w:sz w:val="21"/>
                <w:szCs w:val="21"/>
                <w:highlight w:val="none"/>
                <w:shd w:val="clear" w:color="auto" w:fill="auto"/>
                <w:lang w:val="en-US" w:eastAsia="zh-CN"/>
              </w:rPr>
              <w:t>2分</w:t>
            </w:r>
            <w:r>
              <w:rPr>
                <w:rFonts w:hint="eastAsia" w:ascii="宋体" w:hAnsi="宋体" w:eastAsia="宋体" w:cs="宋体"/>
                <w:b w:val="0"/>
                <w:bCs/>
                <w:color w:val="auto"/>
                <w:sz w:val="21"/>
                <w:szCs w:val="21"/>
                <w:highlight w:val="none"/>
                <w:shd w:val="clear" w:color="auto" w:fill="auto"/>
                <w:lang w:eastAsia="zh-CN"/>
              </w:rPr>
              <w:t>）：</w:t>
            </w:r>
          </w:p>
          <w:p>
            <w:pPr>
              <w:pStyle w:val="162"/>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（1）</w:t>
            </w:r>
            <w:r>
              <w:rPr>
                <w:rFonts w:hint="eastAsia" w:ascii="宋体" w:hAnsi="宋体" w:eastAsia="宋体" w:cs="宋体"/>
                <w:b w:val="0"/>
                <w:bCs/>
                <w:color w:val="auto"/>
                <w:sz w:val="21"/>
                <w:szCs w:val="21"/>
                <w:highlight w:val="none"/>
                <w:shd w:val="clear" w:color="auto" w:fill="auto"/>
                <w:lang w:val="en-US" w:eastAsia="zh-CN"/>
              </w:rPr>
              <w:t>具有</w:t>
            </w:r>
            <w:r>
              <w:rPr>
                <w:rFonts w:hint="eastAsia" w:ascii="宋体" w:hAnsi="宋体" w:eastAsia="宋体" w:cs="宋体"/>
                <w:b w:val="0"/>
                <w:bCs/>
                <w:color w:val="auto"/>
                <w:sz w:val="21"/>
                <w:szCs w:val="21"/>
                <w:highlight w:val="none"/>
                <w:shd w:val="clear" w:color="auto" w:fill="auto"/>
              </w:rPr>
              <w:t>大专或以上学历，得1分；</w:t>
            </w:r>
          </w:p>
          <w:p>
            <w:pPr>
              <w:pStyle w:val="162"/>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（2）持有高压电工作业证的，得1分；</w:t>
            </w:r>
          </w:p>
          <w:p>
            <w:pPr>
              <w:rPr>
                <w:rFonts w:hint="eastAsia" w:ascii="宋体" w:hAnsi="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本项累计最高得13分。</w:t>
            </w:r>
          </w:p>
          <w:p>
            <w:pPr>
              <w:pStyle w:val="2"/>
              <w:rPr>
                <w:rFonts w:hint="default"/>
                <w:b w:val="0"/>
                <w:bCs/>
                <w:color w:val="auto"/>
                <w:highlight w:val="none"/>
                <w:lang w:val="en-US" w:eastAsia="zh-CN"/>
              </w:rPr>
            </w:pPr>
          </w:p>
          <w:p>
            <w:pPr>
              <w:rPr>
                <w:rFonts w:hint="eastAsia" w:ascii="宋体" w:hAnsi="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注：</w:t>
            </w:r>
          </w:p>
          <w:p>
            <w:pP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1、以上人员不得兼任。</w:t>
            </w:r>
          </w:p>
          <w:p>
            <w:pP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2、须提供上述人员相关证件复印件，以及投标人（或其分支机构）为以上人员缴纳社保资金的有效的社保证明材料（或投标人（或其分支机构）为上述人员代缴个人所得税证明材料），否则该人员不予以计分。</w:t>
            </w:r>
          </w:p>
        </w:tc>
        <w:tc>
          <w:tcPr>
            <w:tcW w:w="394" w:type="pct"/>
            <w:vAlign w:val="center"/>
          </w:tcPr>
          <w:p>
            <w:pPr>
              <w:autoSpaceDE w:val="0"/>
              <w:autoSpaceDN w:val="0"/>
              <w:adjustRightInd w:val="0"/>
              <w:snapToGrid w:val="0"/>
              <w:jc w:val="center"/>
              <w:rPr>
                <w:rFonts w:hint="default" w:ascii="宋体" w:hAnsi="宋体" w:eastAsia="宋体" w:cs="宋体"/>
                <w:b w:val="0"/>
                <w:bCs/>
                <w:color w:val="auto"/>
                <w:kern w:val="0"/>
                <w:sz w:val="21"/>
                <w:szCs w:val="21"/>
                <w:highlight w:val="none"/>
                <w:shd w:val="clear" w:color="auto" w:fill="auto"/>
                <w:lang w:val="en-US" w:eastAsia="zh-CN"/>
              </w:rPr>
            </w:pPr>
            <w:r>
              <w:rPr>
                <w:rFonts w:hint="eastAsia" w:ascii="宋体" w:hAnsi="宋体" w:eastAsia="宋体" w:cs="宋体"/>
                <w:b w:val="0"/>
                <w:bCs/>
                <w:color w:val="auto"/>
                <w:kern w:val="0"/>
                <w:sz w:val="21"/>
                <w:szCs w:val="21"/>
                <w:highlight w:val="none"/>
                <w:shd w:val="clear" w:color="auto" w:fill="auto"/>
                <w:lang w:val="en-US" w:eastAsia="zh-CN"/>
              </w:rPr>
              <w:t>1</w:t>
            </w:r>
            <w:r>
              <w:rPr>
                <w:rFonts w:hint="eastAsia" w:ascii="宋体" w:hAnsi="宋体" w:cs="宋体"/>
                <w:b w:val="0"/>
                <w:bCs/>
                <w:color w:val="auto"/>
                <w:kern w:val="0"/>
                <w:sz w:val="21"/>
                <w:szCs w:val="21"/>
                <w:highlight w:val="none"/>
                <w:shd w:val="clear" w:color="auto" w:fil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314" w:type="pct"/>
            <w:vAlign w:val="center"/>
          </w:tcPr>
          <w:p>
            <w:pPr>
              <w:pStyle w:val="50"/>
              <w:ind w:left="0" w:leftChars="0"/>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4</w:t>
            </w:r>
          </w:p>
        </w:tc>
        <w:tc>
          <w:tcPr>
            <w:tcW w:w="585" w:type="pct"/>
            <w:vAlign w:val="center"/>
          </w:tcPr>
          <w:p>
            <w:pPr>
              <w:jc w:val="center"/>
              <w:rPr>
                <w:rFonts w:hint="eastAsia" w:ascii="宋体" w:hAnsi="宋体" w:eastAsia="宋体" w:cs="宋体"/>
                <w:b w:val="0"/>
                <w:bCs/>
                <w:color w:val="auto"/>
                <w:kern w:val="2"/>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rPr>
              <w:t>同类业绩</w:t>
            </w:r>
          </w:p>
        </w:tc>
        <w:tc>
          <w:tcPr>
            <w:tcW w:w="3705" w:type="pct"/>
            <w:vAlign w:val="center"/>
          </w:tcPr>
          <w:p>
            <w:pPr>
              <w:pStyle w:val="3"/>
              <w:rPr>
                <w:rFonts w:hint="eastAsia" w:ascii="宋体" w:hAnsi="宋体" w:eastAsia="宋体" w:cs="宋体"/>
                <w:b w:val="0"/>
                <w:bCs/>
                <w:color w:val="auto"/>
                <w:kern w:val="2"/>
                <w:sz w:val="21"/>
                <w:szCs w:val="21"/>
                <w:highlight w:val="none"/>
                <w:shd w:val="clear" w:color="auto" w:fill="auto"/>
                <w:lang w:val="en-US" w:eastAsia="zh-CN" w:bidi="ar-SA"/>
              </w:rPr>
            </w:pPr>
            <w:bookmarkStart w:id="83" w:name="_Toc1629"/>
            <w:r>
              <w:rPr>
                <w:rFonts w:hint="eastAsia" w:ascii="宋体" w:hAnsi="宋体" w:eastAsia="宋体" w:cs="宋体"/>
                <w:b w:val="0"/>
                <w:bCs/>
                <w:color w:val="auto"/>
                <w:kern w:val="2"/>
                <w:sz w:val="21"/>
                <w:szCs w:val="21"/>
                <w:highlight w:val="none"/>
                <w:shd w:val="clear" w:color="auto" w:fill="auto"/>
                <w:lang w:val="en-US" w:eastAsia="zh-CN" w:bidi="ar-SA"/>
              </w:rPr>
              <w:t>201</w:t>
            </w:r>
            <w:r>
              <w:rPr>
                <w:rFonts w:hint="eastAsia" w:ascii="宋体" w:hAnsi="宋体" w:cs="宋体"/>
                <w:b w:val="0"/>
                <w:bCs/>
                <w:color w:val="auto"/>
                <w:kern w:val="2"/>
                <w:sz w:val="21"/>
                <w:szCs w:val="21"/>
                <w:highlight w:val="none"/>
                <w:shd w:val="clear" w:color="auto" w:fill="auto"/>
                <w:lang w:val="en-US" w:eastAsia="zh-CN" w:bidi="ar-SA"/>
              </w:rPr>
              <w:t>8</w:t>
            </w:r>
            <w:r>
              <w:rPr>
                <w:rFonts w:hint="eastAsia" w:ascii="宋体" w:hAnsi="宋体" w:eastAsia="宋体" w:cs="宋体"/>
                <w:b w:val="0"/>
                <w:bCs/>
                <w:color w:val="auto"/>
                <w:kern w:val="2"/>
                <w:sz w:val="21"/>
                <w:szCs w:val="21"/>
                <w:highlight w:val="none"/>
                <w:shd w:val="clear" w:color="auto" w:fill="auto"/>
                <w:lang w:val="en-US" w:eastAsia="zh-CN" w:bidi="ar-SA"/>
              </w:rPr>
              <w:t>年1月1日至今（以合同签订日期为准），以投标人名义独立承接的物业管理服务业绩：每项业绩得</w:t>
            </w:r>
            <w:r>
              <w:rPr>
                <w:rFonts w:hint="eastAsia" w:ascii="宋体" w:hAnsi="宋体" w:cs="宋体"/>
                <w:b w:val="0"/>
                <w:bCs/>
                <w:color w:val="auto"/>
                <w:kern w:val="2"/>
                <w:sz w:val="21"/>
                <w:szCs w:val="21"/>
                <w:highlight w:val="none"/>
                <w:shd w:val="clear" w:color="auto" w:fill="auto"/>
                <w:lang w:val="en-US" w:eastAsia="zh-CN" w:bidi="ar-SA"/>
              </w:rPr>
              <w:t>2</w:t>
            </w:r>
            <w:r>
              <w:rPr>
                <w:rFonts w:hint="eastAsia" w:ascii="宋体" w:hAnsi="宋体" w:eastAsia="宋体" w:cs="宋体"/>
                <w:b w:val="0"/>
                <w:bCs/>
                <w:color w:val="auto"/>
                <w:kern w:val="2"/>
                <w:sz w:val="21"/>
                <w:szCs w:val="21"/>
                <w:highlight w:val="none"/>
                <w:shd w:val="clear" w:color="auto" w:fill="auto"/>
                <w:lang w:val="en-US" w:eastAsia="zh-CN" w:bidi="ar-SA"/>
              </w:rPr>
              <w:t>分，最高得</w:t>
            </w:r>
            <w:r>
              <w:rPr>
                <w:rFonts w:hint="eastAsia" w:ascii="宋体" w:hAnsi="宋体" w:cs="宋体"/>
                <w:b w:val="0"/>
                <w:bCs/>
                <w:color w:val="auto"/>
                <w:kern w:val="2"/>
                <w:sz w:val="21"/>
                <w:szCs w:val="21"/>
                <w:highlight w:val="none"/>
                <w:shd w:val="clear" w:color="auto" w:fill="auto"/>
                <w:lang w:val="en-US" w:eastAsia="zh-CN" w:bidi="ar-SA"/>
              </w:rPr>
              <w:t>12</w:t>
            </w:r>
            <w:r>
              <w:rPr>
                <w:rFonts w:hint="eastAsia" w:ascii="宋体" w:hAnsi="宋体" w:eastAsia="宋体" w:cs="宋体"/>
                <w:b w:val="0"/>
                <w:bCs/>
                <w:color w:val="auto"/>
                <w:kern w:val="2"/>
                <w:sz w:val="21"/>
                <w:szCs w:val="21"/>
                <w:highlight w:val="none"/>
                <w:shd w:val="clear" w:color="auto" w:fill="auto"/>
                <w:lang w:val="en-US" w:eastAsia="zh-CN" w:bidi="ar-SA"/>
              </w:rPr>
              <w:t>分。</w:t>
            </w:r>
            <w:bookmarkEnd w:id="83"/>
          </w:p>
          <w:p>
            <w:pPr>
              <w:rPr>
                <w:rFonts w:hint="default"/>
                <w:b w:val="0"/>
                <w:bCs/>
                <w:color w:val="auto"/>
                <w:highlight w:val="none"/>
                <w:shd w:val="clear" w:color="auto" w:fill="auto"/>
                <w:lang w:val="en-US" w:eastAsia="zh-CN"/>
              </w:rPr>
            </w:pPr>
            <w:r>
              <w:rPr>
                <w:rFonts w:hint="eastAsia" w:ascii="宋体" w:hAnsi="宋体" w:eastAsia="宋体" w:cs="宋体"/>
                <w:b w:val="0"/>
                <w:bCs/>
                <w:color w:val="auto"/>
                <w:kern w:val="2"/>
                <w:sz w:val="21"/>
                <w:szCs w:val="21"/>
                <w:highlight w:val="none"/>
                <w:shd w:val="clear" w:color="auto" w:fill="auto"/>
                <w:lang w:val="en-US" w:eastAsia="zh-CN" w:bidi="ar-SA"/>
              </w:rPr>
              <w:t>注：须提供合同关键页复印件，合同内容需包含保安服务、保洁服务、餐饮（饭堂）服务、维修（维护）服务，未提供或提供不符合要求的不予以计分。</w:t>
            </w:r>
          </w:p>
        </w:tc>
        <w:tc>
          <w:tcPr>
            <w:tcW w:w="394" w:type="pct"/>
            <w:vAlign w:val="center"/>
          </w:tcPr>
          <w:p>
            <w:pPr>
              <w:autoSpaceDE w:val="0"/>
              <w:autoSpaceDN w:val="0"/>
              <w:adjustRightInd w:val="0"/>
              <w:snapToGrid w:val="0"/>
              <w:jc w:val="center"/>
              <w:rPr>
                <w:rFonts w:hint="default" w:ascii="宋体" w:hAnsi="宋体" w:eastAsia="宋体" w:cs="宋体"/>
                <w:b w:val="0"/>
                <w:bCs/>
                <w:color w:val="auto"/>
                <w:kern w:val="0"/>
                <w:sz w:val="21"/>
                <w:szCs w:val="21"/>
                <w:highlight w:val="none"/>
                <w:shd w:val="clear" w:color="auto" w:fill="auto"/>
                <w:lang w:val="en-US" w:eastAsia="zh-CN"/>
              </w:rPr>
            </w:pPr>
            <w:r>
              <w:rPr>
                <w:rFonts w:hint="eastAsia" w:ascii="宋体" w:hAnsi="宋体" w:eastAsia="宋体" w:cs="宋体"/>
                <w:b w:val="0"/>
                <w:bCs/>
                <w:color w:val="auto"/>
                <w:kern w:val="0"/>
                <w:sz w:val="21"/>
                <w:szCs w:val="21"/>
                <w:highlight w:val="none"/>
                <w:shd w:val="clear" w:color="auto" w:fill="auto"/>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314" w:type="pct"/>
            <w:vAlign w:val="center"/>
          </w:tcPr>
          <w:p>
            <w:pPr>
              <w:pStyle w:val="50"/>
              <w:ind w:left="0" w:leftChars="0"/>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5</w:t>
            </w:r>
          </w:p>
        </w:tc>
        <w:tc>
          <w:tcPr>
            <w:tcW w:w="585" w:type="pct"/>
            <w:vAlign w:val="center"/>
          </w:tcPr>
          <w:p>
            <w:pPr>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委托方评价</w:t>
            </w:r>
          </w:p>
        </w:tc>
        <w:tc>
          <w:tcPr>
            <w:tcW w:w="3705" w:type="pct"/>
            <w:vAlign w:val="center"/>
          </w:tcPr>
          <w:p>
            <w:pPr>
              <w:pStyle w:val="162"/>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201</w:t>
            </w:r>
            <w:r>
              <w:rPr>
                <w:rFonts w:hint="eastAsia" w:ascii="宋体" w:hAnsi="宋体" w:cs="宋体"/>
                <w:b w:val="0"/>
                <w:bCs/>
                <w:color w:val="auto"/>
                <w:sz w:val="21"/>
                <w:szCs w:val="21"/>
                <w:highlight w:val="none"/>
                <w:shd w:val="clear" w:color="auto" w:fill="auto"/>
                <w:lang w:val="en-US" w:eastAsia="zh-CN"/>
              </w:rPr>
              <w:t>8</w:t>
            </w:r>
            <w:r>
              <w:rPr>
                <w:rFonts w:hint="eastAsia" w:ascii="宋体" w:hAnsi="宋体" w:eastAsia="宋体" w:cs="宋体"/>
                <w:b w:val="0"/>
                <w:bCs/>
                <w:color w:val="auto"/>
                <w:sz w:val="21"/>
                <w:szCs w:val="21"/>
                <w:highlight w:val="none"/>
                <w:shd w:val="clear" w:color="auto" w:fill="auto"/>
                <w:lang w:val="en-US" w:eastAsia="zh-CN"/>
              </w:rPr>
              <w:t>年1月1日至今，投标人获得上述有效业绩的委托方正面反馈或评价的，每提供一份证明材料得</w:t>
            </w:r>
            <w:r>
              <w:rPr>
                <w:rFonts w:hint="eastAsia" w:ascii="宋体" w:hAnsi="宋体" w:cs="宋体"/>
                <w:b w:val="0"/>
                <w:bCs/>
                <w:color w:val="auto"/>
                <w:sz w:val="21"/>
                <w:szCs w:val="21"/>
                <w:highlight w:val="none"/>
                <w:shd w:val="clear" w:color="auto" w:fill="auto"/>
                <w:lang w:val="en-US" w:eastAsia="zh-CN"/>
              </w:rPr>
              <w:t>1</w:t>
            </w:r>
            <w:r>
              <w:rPr>
                <w:rFonts w:hint="eastAsia" w:ascii="宋体" w:hAnsi="宋体" w:eastAsia="宋体" w:cs="宋体"/>
                <w:b w:val="0"/>
                <w:bCs/>
                <w:color w:val="auto"/>
                <w:sz w:val="21"/>
                <w:szCs w:val="21"/>
                <w:highlight w:val="none"/>
                <w:shd w:val="clear" w:color="auto" w:fill="auto"/>
                <w:lang w:val="en-US" w:eastAsia="zh-CN"/>
              </w:rPr>
              <w:t>分，最高得6分。</w:t>
            </w:r>
          </w:p>
          <w:p>
            <w:pPr>
              <w:pStyle w:val="162"/>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注：</w:t>
            </w:r>
          </w:p>
          <w:p>
            <w:pPr>
              <w:pStyle w:val="162"/>
              <w:numPr>
                <w:ilvl w:val="0"/>
                <w:numId w:val="25"/>
              </w:numP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须提供委托方服务评价表或表扬信或</w:t>
            </w:r>
            <w:r>
              <w:rPr>
                <w:rFonts w:hint="eastAsia" w:ascii="宋体" w:hAnsi="宋体" w:eastAsia="宋体" w:cs="宋体"/>
                <w:b w:val="0"/>
                <w:bCs/>
                <w:color w:val="auto"/>
                <w:sz w:val="21"/>
                <w:szCs w:val="21"/>
                <w:highlight w:val="none"/>
                <w:shd w:val="clear" w:color="auto" w:fill="auto"/>
              </w:rPr>
              <w:t>嘉奖通知</w:t>
            </w:r>
            <w:r>
              <w:rPr>
                <w:rFonts w:hint="eastAsia" w:ascii="宋体" w:hAnsi="宋体" w:eastAsia="宋体" w:cs="宋体"/>
                <w:b w:val="0"/>
                <w:bCs/>
                <w:color w:val="auto"/>
                <w:sz w:val="21"/>
                <w:szCs w:val="21"/>
                <w:highlight w:val="none"/>
                <w:shd w:val="clear" w:color="auto" w:fill="auto"/>
                <w:lang w:val="en-US" w:eastAsia="zh-CN"/>
              </w:rPr>
              <w:t>或其他对中标人服务正面评价的证明材料，证明材料加盖委托方公章，否则不得分。</w:t>
            </w:r>
          </w:p>
          <w:p>
            <w:pPr>
              <w:pStyle w:val="162"/>
              <w:numPr>
                <w:ilvl w:val="0"/>
                <w:numId w:val="25"/>
              </w:numP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同一项目仅计列一次分值。</w:t>
            </w:r>
          </w:p>
        </w:tc>
        <w:tc>
          <w:tcPr>
            <w:tcW w:w="394" w:type="pct"/>
            <w:vAlign w:val="center"/>
          </w:tcPr>
          <w:p>
            <w:pPr>
              <w:autoSpaceDE w:val="0"/>
              <w:autoSpaceDN w:val="0"/>
              <w:adjustRightInd w:val="0"/>
              <w:snapToGrid w:val="0"/>
              <w:jc w:val="center"/>
              <w:rPr>
                <w:rFonts w:hint="eastAsia" w:ascii="宋体" w:hAnsi="宋体" w:eastAsia="宋体" w:cs="宋体"/>
                <w:b w:val="0"/>
                <w:bCs/>
                <w:color w:val="auto"/>
                <w:kern w:val="0"/>
                <w:sz w:val="21"/>
                <w:szCs w:val="21"/>
                <w:highlight w:val="none"/>
                <w:shd w:val="clear" w:color="auto" w:fill="auto"/>
                <w:lang w:val="en-US" w:eastAsia="zh-CN"/>
              </w:rPr>
            </w:pPr>
            <w:r>
              <w:rPr>
                <w:rFonts w:hint="eastAsia" w:ascii="宋体" w:hAnsi="宋体" w:cs="宋体"/>
                <w:b w:val="0"/>
                <w:bCs/>
                <w:color w:val="auto"/>
                <w:kern w:val="0"/>
                <w:sz w:val="21"/>
                <w:szCs w:val="21"/>
                <w:highlight w:val="none"/>
                <w:shd w:val="clear" w:color="auto" w:fil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4" w:type="pct"/>
            <w:vAlign w:val="center"/>
          </w:tcPr>
          <w:p>
            <w:pPr>
              <w:pStyle w:val="50"/>
              <w:ind w:left="0"/>
              <w:jc w:val="center"/>
              <w:rPr>
                <w:rFonts w:hint="eastAsia" w:ascii="宋体" w:hAnsi="宋体" w:eastAsia="宋体" w:cs="宋体"/>
                <w:b/>
                <w:bCs w:val="0"/>
                <w:color w:val="auto"/>
                <w:sz w:val="21"/>
                <w:szCs w:val="21"/>
                <w:highlight w:val="none"/>
                <w:shd w:val="clear" w:color="auto" w:fill="auto"/>
              </w:rPr>
            </w:pPr>
            <w:r>
              <w:rPr>
                <w:rFonts w:hint="eastAsia" w:ascii="宋体" w:hAnsi="宋体" w:eastAsia="宋体" w:cs="宋体"/>
                <w:b/>
                <w:bCs w:val="0"/>
                <w:color w:val="auto"/>
                <w:sz w:val="21"/>
                <w:szCs w:val="21"/>
                <w:highlight w:val="none"/>
                <w:shd w:val="clear" w:color="auto" w:fill="auto"/>
              </w:rPr>
              <w:t>三</w:t>
            </w:r>
          </w:p>
        </w:tc>
        <w:tc>
          <w:tcPr>
            <w:tcW w:w="4685" w:type="pct"/>
            <w:gridSpan w:val="3"/>
            <w:vAlign w:val="center"/>
          </w:tcPr>
          <w:p>
            <w:pPr>
              <w:pStyle w:val="50"/>
              <w:ind w:left="0"/>
              <w:jc w:val="center"/>
              <w:rPr>
                <w:rFonts w:hint="eastAsia" w:ascii="宋体" w:hAnsi="宋体" w:eastAsia="宋体" w:cs="宋体"/>
                <w:b/>
                <w:bCs w:val="0"/>
                <w:color w:val="auto"/>
                <w:sz w:val="21"/>
                <w:szCs w:val="21"/>
                <w:highlight w:val="none"/>
                <w:shd w:val="clear" w:color="auto" w:fill="auto"/>
              </w:rPr>
            </w:pPr>
            <w:r>
              <w:rPr>
                <w:rFonts w:hint="eastAsia" w:ascii="宋体" w:hAnsi="宋体" w:eastAsia="宋体" w:cs="宋体"/>
                <w:b/>
                <w:bCs w:val="0"/>
                <w:color w:val="auto"/>
                <w:sz w:val="21"/>
                <w:szCs w:val="21"/>
                <w:highlight w:val="none"/>
                <w:shd w:val="clear" w:color="auto" w:fill="auto"/>
              </w:rPr>
              <w:t>价格部分（</w:t>
            </w:r>
            <w:r>
              <w:rPr>
                <w:rFonts w:hint="eastAsia" w:ascii="宋体" w:hAnsi="宋体" w:eastAsia="宋体" w:cs="宋体"/>
                <w:b/>
                <w:bCs w:val="0"/>
                <w:color w:val="auto"/>
                <w:sz w:val="21"/>
                <w:szCs w:val="21"/>
                <w:highlight w:val="none"/>
                <w:shd w:val="clear" w:color="auto" w:fill="auto"/>
                <w:lang w:val="en-US" w:eastAsia="zh-CN"/>
              </w:rPr>
              <w:t>15</w:t>
            </w:r>
            <w:r>
              <w:rPr>
                <w:rFonts w:hint="eastAsia" w:ascii="宋体" w:hAnsi="宋体" w:eastAsia="宋体" w:cs="宋体"/>
                <w:b/>
                <w:bCs w:val="0"/>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14" w:type="pct"/>
            <w:vAlign w:val="center"/>
          </w:tcPr>
          <w:p>
            <w:pPr>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1</w:t>
            </w:r>
          </w:p>
        </w:tc>
        <w:tc>
          <w:tcPr>
            <w:tcW w:w="585" w:type="pct"/>
            <w:vAlign w:val="center"/>
          </w:tcPr>
          <w:p>
            <w:pPr>
              <w:adjustRightInd w:val="0"/>
              <w:snapToGrid w:val="0"/>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投标报价</w:t>
            </w:r>
          </w:p>
        </w:tc>
        <w:tc>
          <w:tcPr>
            <w:tcW w:w="3705" w:type="pct"/>
            <w:vAlign w:val="center"/>
          </w:tcPr>
          <w:p>
            <w:pPr>
              <w:autoSpaceDE w:val="0"/>
              <w:autoSpaceDN w:val="0"/>
              <w:adjustRightInd w:val="0"/>
              <w:snapToGrid w:val="0"/>
              <w:rPr>
                <w:rFonts w:hint="eastAsia" w:ascii="宋体" w:hAnsi="宋体" w:eastAsia="宋体" w:cs="宋体"/>
                <w:b w:val="0"/>
                <w:bCs/>
                <w:color w:val="auto"/>
                <w:kern w:val="0"/>
                <w:sz w:val="21"/>
                <w:szCs w:val="21"/>
                <w:highlight w:val="none"/>
                <w:shd w:val="clear" w:color="auto" w:fill="auto"/>
              </w:rPr>
            </w:pPr>
            <w:r>
              <w:rPr>
                <w:rFonts w:hint="eastAsia" w:ascii="宋体" w:hAnsi="宋体" w:eastAsia="宋体" w:cs="宋体"/>
                <w:b w:val="0"/>
                <w:bCs/>
                <w:color w:val="auto"/>
                <w:kern w:val="0"/>
                <w:sz w:val="21"/>
                <w:szCs w:val="21"/>
                <w:highlight w:val="none"/>
                <w:shd w:val="clear" w:color="auto" w:fill="auto"/>
              </w:rPr>
              <w:t>价格分应当采用低价优先法计算，即满足招标文件要求且投标价格最低的投标报价为评标基准价，其价格分为满分。其他投标人的价格分统一按照下列公式计算：</w:t>
            </w:r>
          </w:p>
          <w:p>
            <w:pPr>
              <w:widowControl/>
              <w:adjustRightInd w:val="0"/>
              <w:snapToGrid w:val="0"/>
              <w:jc w:val="left"/>
              <w:rPr>
                <w:rFonts w:hint="eastAsia" w:ascii="宋体" w:hAnsi="宋体" w:eastAsia="宋体" w:cs="宋体"/>
                <w:b w:val="0"/>
                <w:bCs/>
                <w:color w:val="auto"/>
                <w:kern w:val="0"/>
                <w:sz w:val="21"/>
                <w:szCs w:val="21"/>
                <w:highlight w:val="none"/>
                <w:shd w:val="clear" w:color="auto" w:fill="auto"/>
              </w:rPr>
            </w:pPr>
            <w:r>
              <w:rPr>
                <w:rFonts w:hint="eastAsia" w:ascii="宋体" w:hAnsi="宋体" w:eastAsia="宋体" w:cs="宋体"/>
                <w:b w:val="0"/>
                <w:bCs/>
                <w:color w:val="auto"/>
                <w:kern w:val="0"/>
                <w:sz w:val="21"/>
                <w:szCs w:val="21"/>
                <w:highlight w:val="none"/>
                <w:shd w:val="clear" w:color="auto" w:fill="auto"/>
              </w:rPr>
              <w:t>投标报价得分=(评标基准价／投标报价)×100×价格权重。</w:t>
            </w:r>
          </w:p>
          <w:p>
            <w:pPr>
              <w:widowControl/>
              <w:adjustRightInd w:val="0"/>
              <w:snapToGrid w:val="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备注：</w:t>
            </w:r>
          </w:p>
          <w:p>
            <w:pPr>
              <w:widowControl/>
              <w:adjustRightInd w:val="0"/>
              <w:snapToGrid w:val="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1</w:t>
            </w:r>
            <w:r>
              <w:rPr>
                <w:rFonts w:hint="eastAsia" w:ascii="宋体" w:hAnsi="宋体" w:eastAsia="宋体" w:cs="宋体"/>
                <w:b w:val="0"/>
                <w:bCs/>
                <w:color w:val="auto"/>
                <w:sz w:val="21"/>
                <w:szCs w:val="21"/>
                <w:highlight w:val="none"/>
                <w:shd w:val="clear" w:color="auto" w:fill="auto"/>
              </w:rPr>
              <w:t>、因落实政府采购政策进行价格调整的，以调整后的价格计算评标基准价和投标报价,详见《价格扣除》；</w:t>
            </w:r>
          </w:p>
          <w:p>
            <w:pPr>
              <w:adjustRightInd w:val="0"/>
              <w:snapToGrid w:val="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rPr>
              <w:t>、投标报价得分四舍五入后小数点后保留两位有效数。</w:t>
            </w:r>
          </w:p>
        </w:tc>
        <w:tc>
          <w:tcPr>
            <w:tcW w:w="394" w:type="pct"/>
            <w:vAlign w:val="center"/>
          </w:tcPr>
          <w:p>
            <w:pPr>
              <w:ind w:left="-78" w:leftChars="-37" w:right="-73" w:rightChars="-35"/>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05" w:type="pct"/>
            <w:gridSpan w:val="3"/>
            <w:vAlign w:val="center"/>
          </w:tcPr>
          <w:p>
            <w:pPr>
              <w:adjustRightInd w:val="0"/>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w:t>
            </w:r>
          </w:p>
        </w:tc>
        <w:tc>
          <w:tcPr>
            <w:tcW w:w="394" w:type="pct"/>
            <w:vAlign w:val="center"/>
          </w:tcPr>
          <w:p>
            <w:pPr>
              <w:ind w:left="-78" w:leftChars="-37" w:right="-73" w:rightChars="-35"/>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100分</w:t>
            </w:r>
          </w:p>
        </w:tc>
      </w:tr>
    </w:tbl>
    <w:p>
      <w:pPr>
        <w:rPr>
          <w:rFonts w:ascii="宋体" w:hAnsi="宋体" w:cs="宋体"/>
          <w:vanish/>
          <w:color w:val="auto"/>
          <w:highlight w:val="none"/>
        </w:rPr>
      </w:pPr>
      <w:bookmarkStart w:id="84" w:name="_Hlk23447410"/>
    </w:p>
    <w:bookmarkEnd w:id="84"/>
    <w:p>
      <w:pPr>
        <w:rPr>
          <w:rFonts w:ascii="宋体" w:hAnsi="宋体" w:cs="宋体"/>
          <w:b/>
          <w:bCs/>
          <w:color w:val="auto"/>
          <w:sz w:val="21"/>
          <w:szCs w:val="21"/>
          <w:highlight w:val="none"/>
        </w:rPr>
      </w:pPr>
      <w:r>
        <w:rPr>
          <w:rFonts w:hint="eastAsia" w:ascii="宋体" w:hAnsi="宋体" w:cs="宋体"/>
          <w:b/>
          <w:bCs/>
          <w:color w:val="auto"/>
          <w:sz w:val="21"/>
          <w:szCs w:val="21"/>
          <w:highlight w:val="none"/>
        </w:rPr>
        <w:t>注：投标人应如实提交《综合评分表》要求提交的相关各类证明、资料等并应加盖投标人公章，投标人如未按要求提交的，该项评分为零分。</w:t>
      </w: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adjustRightInd w:val="0"/>
        <w:snapToGrid w:val="0"/>
        <w:spacing w:line="360" w:lineRule="auto"/>
        <w:jc w:val="center"/>
        <w:outlineLvl w:val="1"/>
        <w:rPr>
          <w:rFonts w:ascii="宋体" w:hAnsi="宋体" w:cs="宋体"/>
          <w:color w:val="auto"/>
          <w:sz w:val="28"/>
          <w:szCs w:val="28"/>
          <w:highlight w:val="none"/>
        </w:rPr>
      </w:pPr>
      <w:bookmarkStart w:id="85" w:name="_Toc29713"/>
      <w:r>
        <w:rPr>
          <w:rFonts w:hint="eastAsia" w:ascii="宋体" w:hAnsi="宋体" w:cs="宋体"/>
          <w:b/>
          <w:bCs/>
          <w:color w:val="auto"/>
          <w:sz w:val="28"/>
          <w:szCs w:val="28"/>
          <w:highlight w:val="none"/>
        </w:rPr>
        <w:t>价格扣</w:t>
      </w:r>
      <w:bookmarkEnd w:id="79"/>
      <w:r>
        <w:rPr>
          <w:rFonts w:hint="eastAsia" w:ascii="宋体" w:hAnsi="宋体" w:cs="宋体"/>
          <w:b/>
          <w:bCs/>
          <w:color w:val="auto"/>
          <w:sz w:val="28"/>
          <w:szCs w:val="28"/>
          <w:highlight w:val="none"/>
        </w:rPr>
        <w:t>除</w:t>
      </w:r>
      <w:bookmarkEnd w:id="80"/>
      <w:bookmarkEnd w:id="81"/>
      <w:bookmarkEnd w:id="82"/>
      <w:bookmarkEnd w:id="85"/>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1.价格核准：</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1.1.评标委员会详细分析、核准价格表，检查其是否存在计算上或累加上的算术错误，修正错误的原则详见第四章对应条款。</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1.2.按本章节第2点小型和微型企业产品价格进行价格扣除。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2.小型和微型企业产品价格扣除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2.1.根据财政部、工业和信息化部印发的《政府采购促进中小企业发展管理办法》（财库﹝2020﹞46 号）（下称“本办法”）的规定，供应商提供的货物、工程或者服务符合下列情形的，享受本办法规定的中小企业扶持政策：</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210"/>
        <w:gridCol w:w="232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85"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86" w:name="_Toc19036"/>
            <w:r>
              <w:rPr>
                <w:rFonts w:hint="eastAsia" w:ascii="宋体" w:hAnsi="宋体" w:eastAsia="宋体" w:cs="宋体"/>
                <w:b w:val="0"/>
                <w:bCs w:val="0"/>
                <w:color w:val="auto"/>
                <w:kern w:val="2"/>
                <w:sz w:val="21"/>
                <w:szCs w:val="21"/>
                <w:highlight w:val="none"/>
              </w:rPr>
              <w:t>序号</w:t>
            </w:r>
            <w:bookmarkEnd w:id="86"/>
          </w:p>
        </w:tc>
        <w:tc>
          <w:tcPr>
            <w:tcW w:w="3210"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87" w:name="_Toc24436"/>
            <w:r>
              <w:rPr>
                <w:rFonts w:hint="eastAsia" w:ascii="宋体" w:hAnsi="宋体" w:eastAsia="宋体" w:cs="宋体"/>
                <w:b w:val="0"/>
                <w:bCs w:val="0"/>
                <w:color w:val="auto"/>
                <w:kern w:val="2"/>
                <w:sz w:val="21"/>
                <w:szCs w:val="21"/>
                <w:highlight w:val="none"/>
              </w:rPr>
              <w:t>情形</w:t>
            </w:r>
            <w:bookmarkEnd w:id="87"/>
          </w:p>
        </w:tc>
        <w:tc>
          <w:tcPr>
            <w:tcW w:w="2325"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88" w:name="_Toc13747"/>
            <w:r>
              <w:rPr>
                <w:rFonts w:hint="eastAsia" w:ascii="宋体" w:hAnsi="宋体" w:eastAsia="宋体" w:cs="宋体"/>
                <w:b w:val="0"/>
                <w:bCs w:val="0"/>
                <w:color w:val="auto"/>
                <w:kern w:val="2"/>
                <w:sz w:val="21"/>
                <w:szCs w:val="21"/>
                <w:highlight w:val="none"/>
              </w:rPr>
              <w:t>价格扣除比例</w:t>
            </w:r>
            <w:bookmarkEnd w:id="88"/>
          </w:p>
        </w:tc>
        <w:tc>
          <w:tcPr>
            <w:tcW w:w="2745"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89" w:name="_Toc6674"/>
            <w:r>
              <w:rPr>
                <w:rFonts w:hint="eastAsia" w:ascii="宋体" w:hAnsi="宋体" w:eastAsia="宋体" w:cs="宋体"/>
                <w:b w:val="0"/>
                <w:bCs w:val="0"/>
                <w:color w:val="auto"/>
                <w:kern w:val="2"/>
                <w:sz w:val="21"/>
                <w:szCs w:val="21"/>
                <w:highlight w:val="none"/>
              </w:rPr>
              <w:t>计算公式</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0" w:name="_Toc143"/>
            <w:r>
              <w:rPr>
                <w:rFonts w:hint="eastAsia" w:ascii="宋体" w:hAnsi="宋体" w:eastAsia="宋体" w:cs="宋体"/>
                <w:b w:val="0"/>
                <w:bCs w:val="0"/>
                <w:color w:val="auto"/>
                <w:kern w:val="2"/>
                <w:sz w:val="21"/>
                <w:szCs w:val="21"/>
                <w:highlight w:val="none"/>
              </w:rPr>
              <w:t>1</w:t>
            </w:r>
            <w:bookmarkEnd w:id="90"/>
          </w:p>
        </w:tc>
        <w:tc>
          <w:tcPr>
            <w:tcW w:w="3210"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1" w:name="_Toc30592"/>
            <w:r>
              <w:rPr>
                <w:rFonts w:hint="eastAsia" w:ascii="宋体" w:hAnsi="宋体" w:eastAsia="宋体" w:cs="宋体"/>
                <w:b w:val="0"/>
                <w:bCs w:val="0"/>
                <w:color w:val="auto"/>
                <w:kern w:val="2"/>
                <w:sz w:val="21"/>
                <w:szCs w:val="21"/>
                <w:highlight w:val="none"/>
              </w:rPr>
              <w:t>非联合体供应商</w:t>
            </w:r>
            <w:bookmarkEnd w:id="91"/>
          </w:p>
        </w:tc>
        <w:tc>
          <w:tcPr>
            <w:tcW w:w="2325"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2" w:name="_Toc9185"/>
            <w:r>
              <w:rPr>
                <w:rFonts w:hint="eastAsia" w:ascii="宋体" w:hAnsi="宋体" w:eastAsia="宋体" w:cs="宋体"/>
                <w:b w:val="0"/>
                <w:bCs w:val="0"/>
                <w:color w:val="auto"/>
                <w:kern w:val="2"/>
                <w:sz w:val="21"/>
                <w:szCs w:val="21"/>
                <w:highlight w:val="none"/>
              </w:rPr>
              <w:t>对小微企业报价扣除A</w:t>
            </w:r>
            <w:bookmarkEnd w:id="92"/>
          </w:p>
        </w:tc>
        <w:tc>
          <w:tcPr>
            <w:tcW w:w="2745"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3" w:name="_Toc31186"/>
            <w:r>
              <w:rPr>
                <w:rFonts w:hint="eastAsia" w:ascii="宋体" w:hAnsi="宋体" w:eastAsia="宋体" w:cs="宋体"/>
                <w:b w:val="0"/>
                <w:bCs w:val="0"/>
                <w:color w:val="auto"/>
                <w:kern w:val="2"/>
                <w:sz w:val="21"/>
                <w:szCs w:val="21"/>
                <w:highlight w:val="none"/>
              </w:rPr>
              <w:t>评审价格=投标报价X (1-A)</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4" w:name="_Toc31409"/>
            <w:r>
              <w:rPr>
                <w:rFonts w:hint="eastAsia" w:ascii="宋体" w:hAnsi="宋体" w:eastAsia="宋体" w:cs="宋体"/>
                <w:b w:val="0"/>
                <w:bCs w:val="0"/>
                <w:color w:val="auto"/>
                <w:kern w:val="2"/>
                <w:sz w:val="21"/>
                <w:szCs w:val="21"/>
                <w:highlight w:val="none"/>
              </w:rPr>
              <w:t>2</w:t>
            </w:r>
            <w:bookmarkEnd w:id="94"/>
          </w:p>
        </w:tc>
        <w:tc>
          <w:tcPr>
            <w:tcW w:w="3210"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5" w:name="_Toc29740"/>
            <w:r>
              <w:rPr>
                <w:rFonts w:hint="eastAsia" w:ascii="宋体" w:hAnsi="宋体" w:eastAsia="宋体" w:cs="宋体"/>
                <w:b w:val="0"/>
                <w:bCs w:val="0"/>
                <w:color w:val="auto"/>
                <w:kern w:val="2"/>
                <w:sz w:val="21"/>
                <w:szCs w:val="21"/>
                <w:highlight w:val="none"/>
              </w:rPr>
              <w:t>联合体各方均为中小企业的</w:t>
            </w:r>
            <w:bookmarkEnd w:id="95"/>
          </w:p>
        </w:tc>
        <w:tc>
          <w:tcPr>
            <w:tcW w:w="2325"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6" w:name="_Toc18153"/>
            <w:r>
              <w:rPr>
                <w:rFonts w:hint="eastAsia" w:ascii="宋体" w:hAnsi="宋体" w:eastAsia="宋体" w:cs="宋体"/>
                <w:b w:val="0"/>
                <w:bCs w:val="0"/>
                <w:color w:val="auto"/>
                <w:kern w:val="2"/>
                <w:sz w:val="21"/>
                <w:szCs w:val="21"/>
                <w:highlight w:val="none"/>
              </w:rPr>
              <w:t>对小微企业报价扣除A</w:t>
            </w:r>
            <w:bookmarkEnd w:id="96"/>
          </w:p>
        </w:tc>
        <w:tc>
          <w:tcPr>
            <w:tcW w:w="2745"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7" w:name="_Toc14040"/>
            <w:r>
              <w:rPr>
                <w:rFonts w:hint="eastAsia" w:ascii="宋体" w:hAnsi="宋体" w:eastAsia="宋体" w:cs="宋体"/>
                <w:b w:val="0"/>
                <w:bCs w:val="0"/>
                <w:color w:val="auto"/>
                <w:kern w:val="2"/>
                <w:sz w:val="21"/>
                <w:szCs w:val="21"/>
                <w:highlight w:val="none"/>
              </w:rPr>
              <w:t>评审价格=投标报价X (1-A)</w:t>
            </w:r>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785" w:type="dxa"/>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8" w:name="_Toc32135"/>
            <w:r>
              <w:rPr>
                <w:rFonts w:hint="eastAsia" w:ascii="宋体" w:hAnsi="宋体" w:eastAsia="宋体" w:cs="宋体"/>
                <w:b w:val="0"/>
                <w:bCs w:val="0"/>
                <w:color w:val="auto"/>
                <w:kern w:val="2"/>
                <w:sz w:val="21"/>
                <w:szCs w:val="21"/>
                <w:highlight w:val="none"/>
              </w:rPr>
              <w:t>3</w:t>
            </w:r>
            <w:bookmarkEnd w:id="98"/>
          </w:p>
        </w:tc>
        <w:tc>
          <w:tcPr>
            <w:tcW w:w="3210" w:type="dxa"/>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w:t>
            </w:r>
          </w:p>
        </w:tc>
        <w:tc>
          <w:tcPr>
            <w:tcW w:w="2325"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99" w:name="_Toc14647"/>
            <w:r>
              <w:rPr>
                <w:rFonts w:hint="eastAsia" w:ascii="宋体" w:hAnsi="宋体" w:eastAsia="宋体" w:cs="宋体"/>
                <w:b w:val="0"/>
                <w:bCs w:val="0"/>
                <w:color w:val="auto"/>
                <w:kern w:val="2"/>
                <w:sz w:val="21"/>
                <w:szCs w:val="21"/>
                <w:highlight w:val="none"/>
              </w:rPr>
              <w:t>对联合体或者大中型企业的报价扣除B</w:t>
            </w:r>
            <w:bookmarkEnd w:id="99"/>
          </w:p>
        </w:tc>
        <w:tc>
          <w:tcPr>
            <w:tcW w:w="2745" w:type="dxa"/>
            <w:vAlign w:val="center"/>
          </w:tcPr>
          <w:p>
            <w:pPr>
              <w:pStyle w:val="4"/>
              <w:spacing w:line="240" w:lineRule="auto"/>
              <w:jc w:val="center"/>
              <w:outlineLvl w:val="1"/>
              <w:rPr>
                <w:rFonts w:ascii="宋体" w:hAnsi="宋体" w:eastAsia="宋体" w:cs="宋体"/>
                <w:b w:val="0"/>
                <w:bCs w:val="0"/>
                <w:color w:val="auto"/>
                <w:kern w:val="2"/>
                <w:sz w:val="21"/>
                <w:szCs w:val="21"/>
                <w:highlight w:val="none"/>
              </w:rPr>
            </w:pPr>
            <w:bookmarkStart w:id="100" w:name="_Toc7516"/>
            <w:r>
              <w:rPr>
                <w:rFonts w:hint="eastAsia" w:ascii="宋体" w:hAnsi="宋体" w:eastAsia="宋体" w:cs="宋体"/>
                <w:b w:val="0"/>
                <w:bCs w:val="0"/>
                <w:color w:val="auto"/>
                <w:kern w:val="2"/>
                <w:sz w:val="21"/>
                <w:szCs w:val="21"/>
                <w:highlight w:val="none"/>
              </w:rPr>
              <w:t>评审价格=投标报价X (1-B)</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5" w:type="dxa"/>
            <w:gridSpan w:val="4"/>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（1）项目为货物采购项目或服务采购项目的，A值为6%，B值为2%。</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（2）项目为工程采购项目的，A值为3%，B值为1%。</w:t>
            </w:r>
          </w:p>
        </w:tc>
      </w:tr>
    </w:tbl>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2.1.1.在货物采购项目中，货物由中小企业制造，即货物由中小企业生产且使用该中小企业商号或者注册商标。</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2.1.2.在工程采购项目中，工程由中小企业承建，即工程承包人为中小企业；</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2.1.3.在服务采购项目中，服务由中小企业承接，即提供服务的人员为中小企业依照《中华人民共和国劳动合同法》订立劳动合同的从业人员。</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2.2.对符合本办法规定的小微企业报价给予6%（工程项目为3%）的扣除，用扣除后的价格参加评审。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注：1）供应商提供的货物不是全部由小微企业制造货物的，不参与价格扣除。2）联合体各方均为小微企业的，联合体视同小微企业，参与价格扣除。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未在联合体协议中列明合同金额占用比例的不予价格折扣）。</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注：组成联合体或者接受分包的小微企业与联合体内其他企业、分包企业之间存在直接控股、管理关系的，不享受价格扣除优惠政策。</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2.4.中小企业划分标准以《工业和信息化部、国家统计局、国家发展和改革委员会、财政部关于印发中小企业划型标准规定的通知》（工信部联企业[2011]300号）规定的划分标准为准。</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2.5.参加政府采购活动的中小企业应当提供《中小企业声明函》（格式见第七章响应文件格式）。</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2.6.监狱企业视同小型、微型企业，享受评审中价格扣除。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2.6.2.监狱企业参加政府采购活动时，应当提供由省级以上监狱管理局、戒毒管理局（含新疆生产建设兵团）出具的属于监狱企业的证明文件，否则不予认可。</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2.7.响应供应商同时为小型、微型企业和监狱企业的，评审中只享受一次价格扣除。不重复进行价格扣除。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3.残疾人福利性单位产品价格扣除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3.1.残疾人福利性单位视同小型、微型企业，按上述2.2（或2.3）款享受评审中价格扣除。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七章响应文件格式），并对声明的真实性负责。一旦中选将在中选公告中公告其声明函，接受社会监督。响应供应商提供的《残疾人福利性单位声明函》与事实不符的，依照《中华人民共和国政府采购法》第七十七条第一款的规定追究法律责任。</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4.响应供应商同时为小型、微型企业、监狱企业、残疾人福利性单位任两种或以上情况的，评审中只享受一次价格扣除，不重复进行价格扣除。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5.节能产品、环境标志产品价格扣除：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5.1.拟采购产品属于节能产品政府采购品目清单规定必须强制采购的，实行强制采购。</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1%的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5.3.属于品目清单范围内的节能或环境标志产品，应当提供国家确定的认证机构出具的、处于有效期之内的节能产品或环境标志产品认证证书复印件，并加盖供应商单位的公章。</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6.国家级贫困地区农副产品价格扣除：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6.1.供应商注册地在832个国家级贫困县域内，且所投农副产品属于《国家级贫困县重点扶贫产品供应商名录》的供应商，对所投农副产品的价格给予3%的价格扣除。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提供供应商属于《国家级贫困县重点扶贫产品供应商名录》的证明材料，并加盖供应商单位公章。如所提供产品属于《国家级贫困县重点扶贫产品供应商名录》中供应商的产品，应同时提供合作协议（或授权函）和该供应商属于《国家级贫困县重点扶贫产品供应商名录》的证明材料并加盖供应商单位公章。</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7.国家级贫困地区物业服务价格扣除：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7.1.供应商注册地在832个国家级贫困县域内，且聘用建档立卡贫困人员，对供应商的响应报价给予3%的价格扣除。</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7.2.贫困县域物业公司参与物业服务政府采购,享受上述优惠政策时，应提供以下佐证材料：</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7.2.1.供应商注册所在地县扶贫部门出具的本公司聘用建档立卡贫困人员具体数量证明，并加盖供应商单位公章。</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7.2.2.劳动合同或保险缴纳凭证、工资发放凭证等证实本公司聘用建档立卡贫困人员的材料，并加盖供应商单位公章。</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7.2.3.如公司通过服务外包工方式聘用了建档立卡贫困人员，还应提供公司与服务外包公司签订的合同或协议，以及扶贫部门出具的该服务外包聘用建档立卡贫困人员具体数量证明，并加盖供应商单位公章。</w:t>
      </w:r>
    </w:p>
    <w:p>
      <w:pPr>
        <w:spacing w:line="360" w:lineRule="auto"/>
        <w:rPr>
          <w:rFonts w:ascii="宋体" w:hAnsi="宋体" w:cs="宋体"/>
          <w:b/>
          <w:color w:val="auto"/>
          <w:highlight w:val="none"/>
        </w:rPr>
      </w:pPr>
    </w:p>
    <w:p>
      <w:pPr>
        <w:rPr>
          <w:rFonts w:hint="eastAsia" w:ascii="黑体" w:hAnsi="黑体" w:eastAsia="黑体" w:cs="黑体"/>
          <w:b/>
          <w:bCs/>
          <w:color w:val="auto"/>
          <w:sz w:val="32"/>
          <w:szCs w:val="32"/>
          <w:highlight w:val="none"/>
        </w:rPr>
      </w:pPr>
      <w:bookmarkStart w:id="101" w:name="_Toc6147"/>
      <w:r>
        <w:rPr>
          <w:rFonts w:hint="eastAsia" w:ascii="黑体" w:hAnsi="黑体" w:eastAsia="黑体" w:cs="黑体"/>
          <w:b/>
          <w:bCs/>
          <w:color w:val="auto"/>
          <w:sz w:val="32"/>
          <w:szCs w:val="32"/>
          <w:highlight w:val="none"/>
        </w:rPr>
        <w:br w:type="page"/>
      </w:r>
    </w:p>
    <w:p>
      <w:pPr>
        <w:adjustRightInd w:val="0"/>
        <w:snapToGrid w:val="0"/>
        <w:spacing w:beforeLines="66" w:line="480" w:lineRule="auto"/>
        <w:jc w:val="center"/>
        <w:outlineLvl w:val="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第五章 合同文本</w:t>
      </w:r>
      <w:bookmarkEnd w:id="61"/>
      <w:bookmarkEnd w:id="101"/>
    </w:p>
    <w:p>
      <w:pPr>
        <w:tabs>
          <w:tab w:val="left" w:pos="1440"/>
        </w:tabs>
        <w:spacing w:line="360" w:lineRule="auto"/>
        <w:jc w:val="center"/>
        <w:rPr>
          <w:rFonts w:ascii="宋体" w:hAnsi="宋体" w:cs="宋体"/>
          <w:b/>
          <w:bCs/>
          <w:color w:val="auto"/>
          <w:sz w:val="48"/>
          <w:szCs w:val="48"/>
          <w:highlight w:val="none"/>
        </w:rPr>
      </w:pPr>
    </w:p>
    <w:p>
      <w:pPr>
        <w:tabs>
          <w:tab w:val="left" w:pos="1440"/>
        </w:tabs>
        <w:spacing w:line="360" w:lineRule="auto"/>
        <w:jc w:val="center"/>
        <w:rPr>
          <w:rFonts w:ascii="宋体" w:hAnsi="宋体" w:cs="宋体"/>
          <w:b/>
          <w:bCs/>
          <w:color w:val="auto"/>
          <w:sz w:val="48"/>
          <w:szCs w:val="48"/>
          <w:highlight w:val="none"/>
        </w:rPr>
      </w:pPr>
    </w:p>
    <w:p>
      <w:pPr>
        <w:tabs>
          <w:tab w:val="left" w:pos="1440"/>
        </w:tabs>
        <w:spacing w:line="360" w:lineRule="auto"/>
        <w:jc w:val="center"/>
        <w:rPr>
          <w:rFonts w:ascii="宋体" w:hAnsi="宋体" w:cs="宋体"/>
          <w:color w:val="auto"/>
          <w:sz w:val="48"/>
          <w:szCs w:val="48"/>
          <w:highlight w:val="none"/>
        </w:rPr>
      </w:pPr>
      <w:r>
        <w:rPr>
          <w:rFonts w:hint="eastAsia" w:ascii="宋体" w:hAnsi="宋体" w:cs="宋体"/>
          <w:b/>
          <w:bCs/>
          <w:color w:val="auto"/>
          <w:sz w:val="48"/>
          <w:szCs w:val="48"/>
          <w:highlight w:val="none"/>
          <w:u w:val="single"/>
        </w:rPr>
        <w:t xml:space="preserve">          </w:t>
      </w:r>
      <w:r>
        <w:rPr>
          <w:rFonts w:hint="eastAsia" w:ascii="宋体" w:hAnsi="宋体" w:cs="宋体"/>
          <w:b/>
          <w:bCs/>
          <w:color w:val="auto"/>
          <w:sz w:val="48"/>
          <w:szCs w:val="48"/>
          <w:highlight w:val="none"/>
        </w:rPr>
        <w:t>采购项目</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tabs>
          <w:tab w:val="left" w:pos="1440"/>
        </w:tabs>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合  同  书</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tbl>
      <w:tblPr>
        <w:tblStyle w:val="40"/>
        <w:tblW w:w="5400" w:type="dxa"/>
        <w:jc w:val="center"/>
        <w:tblLayout w:type="fixed"/>
        <w:tblCellMar>
          <w:top w:w="0" w:type="dxa"/>
          <w:left w:w="108" w:type="dxa"/>
          <w:bottom w:w="0" w:type="dxa"/>
          <w:right w:w="108" w:type="dxa"/>
        </w:tblCellMar>
      </w:tblPr>
      <w:tblGrid>
        <w:gridCol w:w="1867"/>
        <w:gridCol w:w="3533"/>
      </w:tblGrid>
      <w:tr>
        <w:tblPrEx>
          <w:tblCellMar>
            <w:top w:w="0" w:type="dxa"/>
            <w:left w:w="108" w:type="dxa"/>
            <w:bottom w:w="0" w:type="dxa"/>
            <w:right w:w="108" w:type="dxa"/>
          </w:tblCellMar>
        </w:tblPrEx>
        <w:trPr>
          <w:trHeight w:val="582" w:hRule="atLeast"/>
          <w:jc w:val="center"/>
        </w:trPr>
        <w:tc>
          <w:tcPr>
            <w:tcW w:w="1867" w:type="dxa"/>
          </w:tcPr>
          <w:p>
            <w:pPr>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t>合同编号：</w:t>
            </w:r>
          </w:p>
        </w:tc>
        <w:tc>
          <w:tcPr>
            <w:tcW w:w="3533" w:type="dxa"/>
          </w:tcPr>
          <w:p>
            <w:pPr>
              <w:spacing w:line="360" w:lineRule="auto"/>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 xml:space="preserve">                </w:t>
            </w:r>
          </w:p>
        </w:tc>
      </w:tr>
      <w:tr>
        <w:tblPrEx>
          <w:tblCellMar>
            <w:top w:w="0" w:type="dxa"/>
            <w:left w:w="108" w:type="dxa"/>
            <w:bottom w:w="0" w:type="dxa"/>
            <w:right w:w="108" w:type="dxa"/>
          </w:tblCellMar>
        </w:tblPrEx>
        <w:trPr>
          <w:trHeight w:val="582" w:hRule="atLeast"/>
          <w:jc w:val="center"/>
        </w:trPr>
        <w:tc>
          <w:tcPr>
            <w:tcW w:w="1867" w:type="dxa"/>
          </w:tcPr>
          <w:p>
            <w:pPr>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w:t>
            </w:r>
          </w:p>
        </w:tc>
        <w:tc>
          <w:tcPr>
            <w:tcW w:w="3533" w:type="dxa"/>
          </w:tcPr>
          <w:p>
            <w:pPr>
              <w:spacing w:line="360" w:lineRule="auto"/>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 xml:space="preserve">                </w:t>
            </w:r>
          </w:p>
        </w:tc>
      </w:tr>
      <w:tr>
        <w:tblPrEx>
          <w:tblCellMar>
            <w:top w:w="0" w:type="dxa"/>
            <w:left w:w="108" w:type="dxa"/>
            <w:bottom w:w="0" w:type="dxa"/>
            <w:right w:w="108" w:type="dxa"/>
          </w:tblCellMar>
        </w:tblPrEx>
        <w:trPr>
          <w:trHeight w:val="657" w:hRule="atLeast"/>
          <w:jc w:val="center"/>
        </w:trPr>
        <w:tc>
          <w:tcPr>
            <w:tcW w:w="1867" w:type="dxa"/>
          </w:tcPr>
          <w:p>
            <w:pPr>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t>项目名称：</w:t>
            </w:r>
          </w:p>
        </w:tc>
        <w:tc>
          <w:tcPr>
            <w:tcW w:w="3533" w:type="dxa"/>
          </w:tcPr>
          <w:p>
            <w:pPr>
              <w:spacing w:line="360" w:lineRule="auto"/>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 xml:space="preserve">                </w:t>
            </w:r>
          </w:p>
        </w:tc>
      </w:tr>
    </w:tbl>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left="420" w:leftChars="200" w:firstLine="2327" w:firstLineChars="828"/>
        <w:rPr>
          <w:rFonts w:ascii="宋体" w:hAnsi="宋体" w:cs="宋体"/>
          <w:b/>
          <w:color w:val="auto"/>
          <w:sz w:val="28"/>
          <w:szCs w:val="28"/>
          <w:highlight w:val="none"/>
          <w:u w:val="single"/>
        </w:rPr>
      </w:pPr>
      <w:r>
        <w:rPr>
          <w:rFonts w:hint="eastAsia" w:ascii="宋体" w:hAnsi="宋体" w:cs="宋体"/>
          <w:b/>
          <w:color w:val="auto"/>
          <w:sz w:val="28"/>
          <w:szCs w:val="28"/>
          <w:highlight w:val="none"/>
        </w:rPr>
        <w:t>甲方：</w:t>
      </w:r>
      <w:r>
        <w:rPr>
          <w:rFonts w:hint="eastAsia" w:ascii="宋体" w:hAnsi="宋体" w:cs="宋体"/>
          <w:b/>
          <w:color w:val="auto"/>
          <w:sz w:val="28"/>
          <w:szCs w:val="28"/>
          <w:highlight w:val="none"/>
          <w:u w:val="single"/>
        </w:rPr>
        <w:t xml:space="preserve">                 </w:t>
      </w:r>
    </w:p>
    <w:p>
      <w:pPr>
        <w:spacing w:line="360" w:lineRule="auto"/>
        <w:ind w:left="420" w:leftChars="200" w:firstLine="2327" w:firstLineChars="828"/>
        <w:rPr>
          <w:rFonts w:ascii="宋体" w:hAnsi="宋体" w:cs="宋体"/>
          <w:b/>
          <w:color w:val="auto"/>
          <w:sz w:val="28"/>
          <w:szCs w:val="28"/>
          <w:highlight w:val="none"/>
          <w:u w:val="single"/>
        </w:rPr>
      </w:pPr>
      <w:r>
        <w:rPr>
          <w:rFonts w:hint="eastAsia" w:ascii="宋体" w:hAnsi="宋体" w:cs="宋体"/>
          <w:b/>
          <w:color w:val="auto"/>
          <w:sz w:val="28"/>
          <w:szCs w:val="28"/>
          <w:highlight w:val="none"/>
        </w:rPr>
        <w:t>乙方：</w:t>
      </w:r>
      <w:r>
        <w:rPr>
          <w:rFonts w:hint="eastAsia" w:ascii="宋体" w:hAnsi="宋体" w:cs="宋体"/>
          <w:b/>
          <w:color w:val="auto"/>
          <w:sz w:val="28"/>
          <w:szCs w:val="28"/>
          <w:highlight w:val="none"/>
          <w:u w:val="single"/>
        </w:rPr>
        <w:t xml:space="preserve">                 </w:t>
      </w:r>
    </w:p>
    <w:p>
      <w:pPr>
        <w:spacing w:line="360" w:lineRule="auto"/>
        <w:ind w:left="420" w:leftChars="200" w:firstLine="2327" w:firstLineChars="828"/>
        <w:rPr>
          <w:rFonts w:ascii="宋体" w:hAnsi="宋体" w:cs="宋体"/>
          <w:color w:val="auto"/>
          <w:sz w:val="28"/>
          <w:szCs w:val="28"/>
          <w:highlight w:val="none"/>
        </w:rPr>
      </w:pPr>
      <w:r>
        <w:rPr>
          <w:rFonts w:hint="eastAsia" w:ascii="宋体" w:hAnsi="宋体" w:cs="宋体"/>
          <w:b/>
          <w:color w:val="auto"/>
          <w:sz w:val="28"/>
          <w:szCs w:val="28"/>
          <w:highlight w:val="none"/>
        </w:rPr>
        <w:t>签订日期：    年     月</w:t>
      </w:r>
    </w:p>
    <w:p>
      <w:pPr>
        <w:spacing w:beforeLines="50" w:afterLines="50" w:line="360" w:lineRule="auto"/>
        <w:jc w:val="center"/>
        <w:rPr>
          <w:rFonts w:ascii="宋体" w:hAnsi="宋体" w:cs="宋体"/>
          <w:b/>
          <w:bCs/>
          <w:color w:val="auto"/>
          <w:highlight w:val="none"/>
        </w:rPr>
      </w:pPr>
      <w:r>
        <w:rPr>
          <w:rFonts w:hint="eastAsia" w:ascii="宋体" w:hAnsi="宋体" w:cs="宋体"/>
          <w:b/>
          <w:bCs/>
          <w:color w:val="auto"/>
          <w:highlight w:val="none"/>
        </w:rPr>
        <w:t>注：本合同仅为合同的参考文本，合同签订双方可根据项目的具体要求进行修订。</w:t>
      </w:r>
    </w:p>
    <w:p>
      <w:pPr>
        <w:tabs>
          <w:tab w:val="left" w:pos="720"/>
        </w:tabs>
        <w:spacing w:line="300" w:lineRule="auto"/>
        <w:ind w:firstLine="308" w:firstLineChars="147"/>
        <w:rPr>
          <w:rFonts w:ascii="宋体" w:hAnsi="宋体" w:cs="宋体"/>
          <w:b/>
          <w:color w:val="auto"/>
          <w:szCs w:val="21"/>
          <w:highlight w:val="none"/>
          <w:u w:val="single"/>
        </w:rPr>
      </w:pPr>
      <w:r>
        <w:rPr>
          <w:rFonts w:hint="eastAsia" w:ascii="宋体" w:hAnsi="宋体" w:cs="宋体"/>
          <w:color w:val="auto"/>
          <w:highlight w:val="none"/>
        </w:rPr>
        <w:br w:type="page"/>
      </w:r>
      <w:r>
        <w:rPr>
          <w:rFonts w:hint="eastAsia" w:ascii="宋体" w:hAnsi="宋体" w:cs="宋体"/>
          <w:b/>
          <w:color w:val="auto"/>
          <w:szCs w:val="21"/>
          <w:highlight w:val="none"/>
        </w:rPr>
        <w:t>甲方：</w:t>
      </w:r>
      <w:r>
        <w:rPr>
          <w:rFonts w:hint="eastAsia" w:ascii="宋体" w:hAnsi="宋体" w:cs="宋体"/>
          <w:b/>
          <w:color w:val="auto"/>
          <w:szCs w:val="21"/>
          <w:highlight w:val="none"/>
          <w:u w:val="single"/>
        </w:rPr>
        <w:t xml:space="preserve">        采购人               </w:t>
      </w:r>
    </w:p>
    <w:p>
      <w:pPr>
        <w:spacing w:line="300" w:lineRule="auto"/>
        <w:ind w:firstLine="312" w:firstLineChars="149"/>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00" w:lineRule="auto"/>
        <w:ind w:firstLine="312" w:firstLineChars="149"/>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pacing w:line="300" w:lineRule="auto"/>
        <w:ind w:left="357" w:leftChars="170"/>
        <w:rPr>
          <w:rFonts w:ascii="宋体" w:hAnsi="宋体" w:cs="宋体"/>
          <w:b/>
          <w:color w:val="auto"/>
          <w:szCs w:val="21"/>
          <w:highlight w:val="none"/>
        </w:rPr>
      </w:pPr>
    </w:p>
    <w:p>
      <w:pPr>
        <w:spacing w:line="300" w:lineRule="auto"/>
        <w:ind w:left="357" w:leftChars="170"/>
        <w:rPr>
          <w:rFonts w:ascii="宋体" w:hAnsi="宋体" w:cs="宋体"/>
          <w:color w:val="auto"/>
          <w:szCs w:val="21"/>
          <w:highlight w:val="none"/>
        </w:rPr>
      </w:pPr>
      <w:r>
        <w:rPr>
          <w:rFonts w:hint="eastAsia" w:ascii="宋体" w:hAnsi="宋体" w:cs="宋体"/>
          <w:b/>
          <w:color w:val="auto"/>
          <w:szCs w:val="21"/>
          <w:highlight w:val="none"/>
        </w:rPr>
        <w:t>乙方：</w:t>
      </w:r>
      <w:r>
        <w:rPr>
          <w:rFonts w:hint="eastAsia" w:ascii="宋体" w:hAnsi="宋体" w:cs="宋体"/>
          <w:b/>
          <w:color w:val="auto"/>
          <w:szCs w:val="21"/>
          <w:highlight w:val="none"/>
          <w:u w:val="single"/>
        </w:rPr>
        <w:t xml:space="preserve">      （中标人）             </w:t>
      </w:r>
      <w:r>
        <w:rPr>
          <w:rFonts w:hint="eastAsia" w:ascii="宋体" w:hAnsi="宋体" w:cs="宋体"/>
          <w:b/>
          <w:color w:val="auto"/>
          <w:szCs w:val="21"/>
          <w:highlight w:val="none"/>
        </w:rPr>
        <w:br w:type="textWrapping"/>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p>
    <w:p>
      <w:pPr>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pacing w:line="30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结果,按照《中华人民共和国政府采购法》、《中华人民共和国政府采购法实施条例》、《中华人民共和国民法典（合同编）》的规定，经双方协商，本着平等互利和诚实信用的原则，一致同意签订本合同如下:</w:t>
      </w:r>
    </w:p>
    <w:p>
      <w:pPr>
        <w:pStyle w:val="150"/>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szCs w:val="21"/>
          <w:highlight w:val="none"/>
        </w:rPr>
      </w:pPr>
      <w:bookmarkStart w:id="102" w:name="_Toc11453"/>
      <w:bookmarkStart w:id="103" w:name="_Toc2667"/>
      <w:bookmarkStart w:id="104" w:name="_Toc30495"/>
      <w:r>
        <w:rPr>
          <w:rFonts w:hint="eastAsia" w:ascii="宋体" w:hAnsi="宋体" w:cs="宋体"/>
          <w:b/>
          <w:color w:val="auto"/>
          <w:szCs w:val="21"/>
          <w:highlight w:val="none"/>
          <w:lang w:val="en-US" w:eastAsia="zh-CN"/>
        </w:rPr>
        <w:t>项目</w:t>
      </w:r>
      <w:r>
        <w:rPr>
          <w:rFonts w:hint="eastAsia" w:ascii="宋体" w:hAnsi="宋体" w:cs="宋体"/>
          <w:b/>
          <w:color w:val="auto"/>
          <w:szCs w:val="21"/>
          <w:highlight w:val="none"/>
        </w:rPr>
        <w:t>概况</w:t>
      </w:r>
      <w:bookmarkEnd w:id="102"/>
      <w:bookmarkEnd w:id="103"/>
      <w:bookmarkEnd w:id="104"/>
    </w:p>
    <w:p>
      <w:pPr>
        <w:tabs>
          <w:tab w:val="left" w:pos="420"/>
        </w:tabs>
        <w:spacing w:line="360" w:lineRule="auto"/>
        <w:ind w:firstLine="420" w:firstLineChars="200"/>
        <w:jc w:val="left"/>
        <w:rPr>
          <w:rFonts w:ascii="Times New Roman" w:hAnsi="Times New Roman" w:cs="Times New Roman"/>
          <w:color w:val="auto"/>
          <w:kern w:val="2"/>
          <w:sz w:val="21"/>
          <w:szCs w:val="21"/>
          <w:highlight w:val="none"/>
        </w:rPr>
      </w:pPr>
      <w:bookmarkStart w:id="105" w:name="_Toc25492"/>
      <w:bookmarkStart w:id="106" w:name="_Toc7244"/>
      <w:r>
        <w:rPr>
          <w:rFonts w:ascii="Times New Roman" w:hAnsi="Times New Roman" w:cs="Times New Roman"/>
          <w:color w:val="auto"/>
          <w:kern w:val="2"/>
          <w:sz w:val="21"/>
          <w:szCs w:val="21"/>
          <w:highlight w:val="none"/>
        </w:rPr>
        <w:t>本项目为</w:t>
      </w:r>
      <w:r>
        <w:rPr>
          <w:rFonts w:hint="eastAsia" w:ascii="Times New Roman" w:hAnsi="Times New Roman" w:cs="Times New Roman"/>
          <w:color w:val="auto"/>
          <w:kern w:val="2"/>
          <w:sz w:val="21"/>
          <w:szCs w:val="21"/>
          <w:highlight w:val="none"/>
        </w:rPr>
        <w:t>南海出入境边防检查站</w:t>
      </w:r>
      <w:r>
        <w:rPr>
          <w:rFonts w:ascii="Times New Roman" w:hAnsi="Times New Roman" w:cs="Times New Roman"/>
          <w:color w:val="auto"/>
          <w:kern w:val="2"/>
          <w:sz w:val="21"/>
          <w:szCs w:val="21"/>
          <w:highlight w:val="none"/>
        </w:rPr>
        <w:t>（以下简称边检站）</w:t>
      </w:r>
      <w:r>
        <w:rPr>
          <w:rFonts w:hint="eastAsia" w:ascii="Times New Roman" w:hAnsi="Times New Roman" w:cs="Times New Roman"/>
          <w:color w:val="auto"/>
          <w:kern w:val="2"/>
          <w:sz w:val="21"/>
          <w:szCs w:val="21"/>
          <w:highlight w:val="none"/>
          <w:lang w:eastAsia="zh-CN"/>
        </w:rPr>
        <w:t>物业管理服务项目，服务内容包括：会务、安保、绿化、水电设备维护、清洁、饭堂外包工作等</w:t>
      </w:r>
      <w:r>
        <w:rPr>
          <w:rFonts w:ascii="Times New Roman" w:hAnsi="Times New Roman" w:cs="Times New Roman"/>
          <w:color w:val="auto"/>
          <w:kern w:val="2"/>
          <w:sz w:val="21"/>
          <w:szCs w:val="21"/>
          <w:highlight w:val="none"/>
        </w:rPr>
        <w:t>。</w:t>
      </w:r>
    </w:p>
    <w:p>
      <w:pPr>
        <w:tabs>
          <w:tab w:val="left" w:pos="420"/>
        </w:tabs>
        <w:spacing w:line="360" w:lineRule="auto"/>
        <w:ind w:firstLine="420" w:firstLineChars="200"/>
        <w:jc w:val="left"/>
        <w:rPr>
          <w:rFonts w:ascii="宋体" w:hAnsi="宋体" w:cs="宋体"/>
          <w:color w:val="auto"/>
          <w:szCs w:val="21"/>
          <w:highlight w:val="none"/>
        </w:rPr>
      </w:pPr>
      <w:r>
        <w:rPr>
          <w:rFonts w:ascii="Times New Roman" w:hAnsi="Times New Roman"/>
          <w:color w:val="auto"/>
          <w:kern w:val="2"/>
          <w:sz w:val="21"/>
          <w:szCs w:val="21"/>
          <w:highlight w:val="none"/>
        </w:rPr>
        <w:t>服务范围：1号楼，楼高8层，整体建筑面积3600平方米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2号楼，楼高6层，整体建筑面积3300平方米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3号楼，楼高7层，整体建筑面积4700平方米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备勤宿舍8套，总体建筑面积670平方米</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总体面积中华人民共和国南海边防检查站占地7227平方米，设一个出入口</w:t>
      </w:r>
      <w:r>
        <w:rPr>
          <w:rFonts w:hint="eastAsia" w:ascii="Times New Roman" w:hAnsi="Times New Roman"/>
          <w:color w:val="auto"/>
          <w:kern w:val="2"/>
          <w:sz w:val="21"/>
          <w:szCs w:val="21"/>
          <w:highlight w:val="none"/>
          <w:lang w:val="en-US" w:eastAsia="zh-CN"/>
        </w:rPr>
        <w:t>；</w:t>
      </w:r>
      <w:r>
        <w:rPr>
          <w:rFonts w:ascii="Times New Roman" w:hAnsi="Times New Roman"/>
          <w:color w:val="auto"/>
          <w:kern w:val="2"/>
          <w:sz w:val="21"/>
          <w:szCs w:val="21"/>
          <w:highlight w:val="none"/>
        </w:rPr>
        <w:t>里水</w:t>
      </w:r>
      <w:r>
        <w:rPr>
          <w:rFonts w:hint="eastAsia" w:ascii="Times New Roman" w:hAnsi="Times New Roman"/>
          <w:color w:val="auto"/>
          <w:kern w:val="2"/>
          <w:sz w:val="21"/>
          <w:szCs w:val="21"/>
          <w:highlight w:val="none"/>
          <w:lang w:val="en-US" w:eastAsia="zh-CN"/>
        </w:rPr>
        <w:t>场地</w:t>
      </w:r>
      <w:r>
        <w:rPr>
          <w:rFonts w:ascii="Times New Roman" w:hAnsi="Times New Roman"/>
          <w:color w:val="auto"/>
          <w:kern w:val="2"/>
          <w:sz w:val="21"/>
          <w:szCs w:val="21"/>
          <w:highlight w:val="none"/>
        </w:rPr>
        <w:t>看管。</w:t>
      </w:r>
    </w:p>
    <w:p>
      <w:pPr>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szCs w:val="21"/>
          <w:highlight w:val="none"/>
        </w:rPr>
      </w:pPr>
      <w:bookmarkStart w:id="107" w:name="_Toc12978"/>
      <w:r>
        <w:rPr>
          <w:rFonts w:hint="eastAsia" w:ascii="宋体" w:hAnsi="宋体" w:cs="宋体"/>
          <w:b/>
          <w:color w:val="auto"/>
          <w:szCs w:val="21"/>
          <w:highlight w:val="none"/>
        </w:rPr>
        <w:t>合同金额</w:t>
      </w:r>
      <w:bookmarkEnd w:id="105"/>
      <w:bookmarkEnd w:id="106"/>
      <w:bookmarkEnd w:id="107"/>
    </w:p>
    <w:p>
      <w:pPr>
        <w:pStyle w:val="21"/>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月度物业管理服务费</w:t>
      </w:r>
      <w:r>
        <w:rPr>
          <w:rFonts w:hint="eastAsia" w:hAnsi="宋体"/>
          <w:color w:val="auto"/>
          <w:sz w:val="21"/>
          <w:highlight w:val="none"/>
          <w:shd w:val="clear" w:color="auto" w:fill="auto"/>
          <w:lang w:eastAsia="zh-CN"/>
        </w:rPr>
        <w:t>为人民币（大写）：_________________元（￥___________元）</w:t>
      </w:r>
    </w:p>
    <w:p>
      <w:pPr>
        <w:pStyle w:val="21"/>
        <w:keepNext w:val="0"/>
        <w:keepLines w:val="0"/>
        <w:pageBreakBefore w:val="0"/>
        <w:widowControl w:val="0"/>
        <w:numPr>
          <w:ilvl w:val="0"/>
          <w:numId w:val="27"/>
        </w:numPr>
        <w:kinsoku/>
        <w:wordWrap/>
        <w:overflowPunct/>
        <w:topLinePunct w:val="0"/>
        <w:autoSpaceDE/>
        <w:autoSpaceDN/>
        <w:bidi w:val="0"/>
        <w:adjustRightInd/>
        <w:snapToGrid w:val="0"/>
        <w:spacing w:line="360" w:lineRule="auto"/>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eastAsia="zh-CN"/>
        </w:rPr>
        <w:t>合同总额为人民币（大写）：_________________元（￥___________元），</w:t>
      </w:r>
      <w:r>
        <w:rPr>
          <w:rFonts w:hint="eastAsia" w:hAnsi="宋体"/>
          <w:color w:val="auto"/>
          <w:sz w:val="21"/>
          <w:highlight w:val="none"/>
          <w:shd w:val="clear" w:color="auto" w:fill="auto"/>
          <w:lang w:val="en-US" w:eastAsia="zh-CN"/>
        </w:rPr>
        <w:t>合同总额=月度物业管理服务费*16个月。</w:t>
      </w:r>
    </w:p>
    <w:p>
      <w:pPr>
        <w:numPr>
          <w:ilvl w:val="0"/>
          <w:numId w:val="0"/>
        </w:numPr>
        <w:tabs>
          <w:tab w:val="left" w:pos="540"/>
        </w:tabs>
        <w:snapToGrid w:val="0"/>
        <w:spacing w:line="360" w:lineRule="auto"/>
        <w:ind w:left="400" w:leftChars="0"/>
        <w:jc w:val="both"/>
        <w:textAlignment w:val="baseline"/>
        <w:rPr>
          <w:rFonts w:hint="eastAsia" w:ascii="Times New Roman" w:hAnsi="Times New Roman" w:cs="Times New Roman"/>
          <w:b w:val="0"/>
          <w:bCs w:val="0"/>
          <w:color w:val="auto"/>
          <w:kern w:val="2"/>
          <w:sz w:val="21"/>
          <w:szCs w:val="21"/>
          <w:highlight w:val="none"/>
          <w:lang w:val="en-US" w:eastAsia="zh-CN"/>
        </w:rPr>
      </w:pPr>
      <w:r>
        <w:rPr>
          <w:rFonts w:hint="eastAsia" w:ascii="宋体" w:hAnsi="宋体" w:cs="宋体"/>
          <w:b w:val="0"/>
          <w:bCs w:val="0"/>
          <w:color w:val="auto"/>
          <w:sz w:val="21"/>
          <w:szCs w:val="21"/>
          <w:highlight w:val="none"/>
          <w:lang w:val="en-US" w:eastAsia="zh-CN"/>
        </w:rPr>
        <w:t>3、物业管理服务费为固定包干价，费用</w:t>
      </w:r>
      <w:r>
        <w:rPr>
          <w:rFonts w:hint="eastAsia" w:ascii="Times New Roman" w:hAnsi="Times New Roman" w:cs="Times New Roman"/>
          <w:b w:val="0"/>
          <w:bCs w:val="0"/>
          <w:color w:val="auto"/>
          <w:kern w:val="2"/>
          <w:sz w:val="21"/>
          <w:szCs w:val="21"/>
          <w:highlight w:val="none"/>
          <w:lang w:val="en-US" w:eastAsia="zh-CN"/>
        </w:rPr>
        <w:t>包括但不限于以下内容，本合同另有约定的除外：</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服务人员费</w:t>
      </w:r>
      <w:r>
        <w:rPr>
          <w:rFonts w:ascii="Times New Roman" w:hAnsi="Times New Roman"/>
          <w:color w:val="auto"/>
          <w:kern w:val="2"/>
          <w:sz w:val="21"/>
          <w:szCs w:val="21"/>
          <w:highlight w:val="none"/>
        </w:rPr>
        <w:t>：</w:t>
      </w:r>
      <w:r>
        <w:rPr>
          <w:rFonts w:hint="eastAsia" w:ascii="宋体" w:hAnsi="宋体" w:cs="宋体"/>
          <w:b w:val="0"/>
          <w:bCs w:val="0"/>
          <w:color w:val="auto"/>
          <w:sz w:val="21"/>
          <w:szCs w:val="21"/>
          <w:highlight w:val="none"/>
          <w:lang w:val="en-US" w:eastAsia="zh-CN"/>
        </w:rPr>
        <w:t>人员工资、</w:t>
      </w:r>
      <w:r>
        <w:rPr>
          <w:rFonts w:hint="eastAsia"/>
          <w:color w:val="auto"/>
          <w:highlight w:val="none"/>
          <w:lang w:eastAsia="zh-CN"/>
        </w:rPr>
        <w:t>社保、工伤意外保险、</w:t>
      </w:r>
      <w:r>
        <w:rPr>
          <w:rFonts w:hint="eastAsia" w:ascii="宋体" w:hAnsi="宋体" w:cs="宋体"/>
          <w:b w:val="0"/>
          <w:bCs w:val="0"/>
          <w:color w:val="auto"/>
          <w:sz w:val="21"/>
          <w:szCs w:val="21"/>
          <w:highlight w:val="none"/>
          <w:lang w:val="en-US" w:eastAsia="zh-CN"/>
        </w:rPr>
        <w:t>加班费、节日福利费、保安培训费、体检费等</w:t>
      </w:r>
      <w:r>
        <w:rPr>
          <w:rFonts w:ascii="Times New Roman" w:hAnsi="Times New Roman"/>
          <w:color w:val="auto"/>
          <w:kern w:val="2"/>
          <w:sz w:val="21"/>
          <w:szCs w:val="21"/>
          <w:highlight w:val="none"/>
        </w:rPr>
        <w:t>；</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福利保险</w:t>
      </w:r>
      <w:r>
        <w:rPr>
          <w:rFonts w:hint="eastAsia" w:ascii="Times New Roman" w:hAnsi="Times New Roman"/>
          <w:color w:val="auto"/>
          <w:kern w:val="2"/>
          <w:sz w:val="21"/>
          <w:szCs w:val="21"/>
          <w:highlight w:val="none"/>
          <w:lang w:val="en-US" w:eastAsia="zh-CN"/>
        </w:rPr>
        <w:t>费</w:t>
      </w:r>
      <w:r>
        <w:rPr>
          <w:rFonts w:ascii="Times New Roman" w:hAnsi="Times New Roman"/>
          <w:color w:val="auto"/>
          <w:kern w:val="2"/>
          <w:sz w:val="21"/>
          <w:szCs w:val="21"/>
          <w:highlight w:val="none"/>
        </w:rPr>
        <w:t>：福利费（资金补贴）、培训费、工会费、节假日慰问费、</w:t>
      </w:r>
      <w:r>
        <w:rPr>
          <w:rFonts w:hint="eastAsia" w:ascii="Times New Roman" w:hAnsi="Times New Roman"/>
          <w:color w:val="auto"/>
          <w:kern w:val="2"/>
          <w:sz w:val="21"/>
          <w:szCs w:val="21"/>
          <w:highlight w:val="none"/>
        </w:rPr>
        <w:t>高温补贴</w:t>
      </w:r>
      <w:r>
        <w:rPr>
          <w:rFonts w:ascii="Times New Roman" w:hAnsi="Times New Roman"/>
          <w:color w:val="auto"/>
          <w:kern w:val="2"/>
          <w:sz w:val="21"/>
          <w:szCs w:val="21"/>
          <w:highlight w:val="none"/>
        </w:rPr>
        <w:t>、佛山市规定的各种社会保险等；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3）</w:t>
      </w:r>
      <w:r>
        <w:rPr>
          <w:rFonts w:ascii="Times New Roman" w:hAnsi="Times New Roman"/>
          <w:color w:val="auto"/>
          <w:kern w:val="2"/>
          <w:sz w:val="21"/>
          <w:szCs w:val="21"/>
          <w:highlight w:val="none"/>
        </w:rPr>
        <w:t>绿化费用：边检站范围内绿化日常养护与修剪；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4）</w:t>
      </w:r>
      <w:r>
        <w:rPr>
          <w:rFonts w:ascii="Times New Roman" w:hAnsi="Times New Roman"/>
          <w:color w:val="auto"/>
          <w:kern w:val="2"/>
          <w:sz w:val="21"/>
          <w:szCs w:val="21"/>
          <w:highlight w:val="none"/>
        </w:rPr>
        <w:t>公共秩序管理费：工具物料消耗、保安管理费（公安部门收取）、各种装备维护保养等；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5）</w:t>
      </w:r>
      <w:r>
        <w:rPr>
          <w:rFonts w:ascii="Times New Roman" w:hAnsi="Times New Roman"/>
          <w:color w:val="auto"/>
          <w:kern w:val="2"/>
          <w:sz w:val="21"/>
          <w:szCs w:val="21"/>
          <w:highlight w:val="none"/>
        </w:rPr>
        <w:t>开办费摊销：开展工作必备的物资装备费用，如全部人员服装、安防装备；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（6）除四害费：站部营区每月2次除四害，厨房每月4次，站部、办公楼及宿舍等发现虫害情况，随叫随到随清理。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（7）管理费、 利润、 税金、招标代理服务费、不可预见费及为完成本合同内容所需的一切费用。</w:t>
      </w:r>
    </w:p>
    <w:p>
      <w:pPr>
        <w:numPr>
          <w:ilvl w:val="0"/>
          <w:numId w:val="0"/>
        </w:numPr>
        <w:tabs>
          <w:tab w:val="left" w:pos="540"/>
        </w:tabs>
        <w:snapToGrid w:val="0"/>
        <w:spacing w:line="360" w:lineRule="auto"/>
        <w:ind w:left="400" w:leftChars="0"/>
        <w:jc w:val="both"/>
        <w:textAlignment w:val="baseline"/>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4、物业管理服务费不包含以下费用，以下费用由甲方确定结算方式：</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（1）</w:t>
      </w:r>
      <w:r>
        <w:rPr>
          <w:rFonts w:ascii="Times New Roman" w:hAnsi="Times New Roman"/>
          <w:color w:val="auto"/>
          <w:kern w:val="2"/>
          <w:sz w:val="21"/>
          <w:szCs w:val="21"/>
          <w:highlight w:val="none"/>
        </w:rPr>
        <w:t>公共水电费：清洁、绿化、消防用水，所有设施设备的维修与配件更换；</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（2）</w:t>
      </w:r>
      <w:r>
        <w:rPr>
          <w:rFonts w:ascii="Times New Roman" w:hAnsi="Times New Roman"/>
          <w:color w:val="auto"/>
          <w:kern w:val="2"/>
          <w:sz w:val="21"/>
          <w:szCs w:val="21"/>
          <w:highlight w:val="none"/>
        </w:rPr>
        <w:t>其他相关费用：清洁材料费、绿化养护费、维修材料费；</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（3）</w:t>
      </w:r>
      <w:r>
        <w:rPr>
          <w:rFonts w:ascii="Times New Roman" w:hAnsi="Times New Roman"/>
          <w:color w:val="auto"/>
          <w:kern w:val="2"/>
          <w:sz w:val="21"/>
          <w:szCs w:val="21"/>
          <w:highlight w:val="none"/>
        </w:rPr>
        <w:t>垃圾清运及处理费（由市政管理部门收取）；</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（4）</w:t>
      </w:r>
      <w:r>
        <w:rPr>
          <w:rFonts w:ascii="Times New Roman" w:hAnsi="Times New Roman"/>
          <w:color w:val="auto"/>
          <w:kern w:val="2"/>
          <w:sz w:val="21"/>
          <w:szCs w:val="21"/>
          <w:highlight w:val="none"/>
        </w:rPr>
        <w:t>地面定期抛光打蜡、外墙清洗、化粪池、隔油池清理、中央空调定期保单费、电梯定期检测维保费、配电房安全检测费、配电房及供电管线维保费、消防连网系统保养等特种保养费用；</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（5）</w:t>
      </w:r>
      <w:r>
        <w:rPr>
          <w:rFonts w:ascii="Times New Roman" w:hAnsi="Times New Roman"/>
          <w:color w:val="auto"/>
          <w:kern w:val="2"/>
          <w:sz w:val="21"/>
          <w:szCs w:val="21"/>
          <w:highlight w:val="none"/>
        </w:rPr>
        <w:t>室内外绿化更换养护费用；</w:t>
      </w:r>
    </w:p>
    <w:p>
      <w:pPr>
        <w:widowControl w:val="0"/>
        <w:spacing w:line="360" w:lineRule="auto"/>
        <w:ind w:firstLine="420" w:firstLineChars="200"/>
        <w:jc w:val="both"/>
        <w:rPr>
          <w:rFonts w:ascii="Times New Roman" w:hAnsi="Times New Roman"/>
          <w:color w:val="auto"/>
          <w:kern w:val="2"/>
          <w:sz w:val="21"/>
          <w:szCs w:val="21"/>
          <w:highlight w:val="none"/>
        </w:rPr>
      </w:pPr>
      <w:r>
        <w:rPr>
          <w:rFonts w:hint="eastAsia" w:ascii="Times New Roman" w:hAnsi="Times New Roman" w:cs="Times New Roman"/>
          <w:color w:val="auto"/>
          <w:kern w:val="2"/>
          <w:sz w:val="21"/>
          <w:szCs w:val="21"/>
          <w:highlight w:val="none"/>
          <w:lang w:val="en-US" w:eastAsia="zh-CN"/>
        </w:rPr>
        <w:t>（6）</w:t>
      </w:r>
      <w:r>
        <w:rPr>
          <w:rFonts w:ascii="Times New Roman" w:hAnsi="Times New Roman"/>
          <w:color w:val="auto"/>
          <w:kern w:val="2"/>
          <w:sz w:val="21"/>
          <w:szCs w:val="21"/>
          <w:highlight w:val="none"/>
        </w:rPr>
        <w:t>其它需要</w:t>
      </w:r>
      <w:r>
        <w:rPr>
          <w:rFonts w:hint="eastAsia" w:ascii="Times New Roman" w:hAnsi="Times New Roman"/>
          <w:color w:val="auto"/>
          <w:kern w:val="2"/>
          <w:sz w:val="21"/>
          <w:szCs w:val="21"/>
          <w:highlight w:val="none"/>
          <w:lang w:val="en-US" w:eastAsia="zh-CN"/>
        </w:rPr>
        <w:t>甲方</w:t>
      </w:r>
      <w:r>
        <w:rPr>
          <w:rFonts w:ascii="Times New Roman" w:hAnsi="Times New Roman"/>
          <w:color w:val="auto"/>
          <w:kern w:val="2"/>
          <w:sz w:val="21"/>
          <w:szCs w:val="21"/>
          <w:highlight w:val="none"/>
        </w:rPr>
        <w:t>和</w:t>
      </w:r>
      <w:r>
        <w:rPr>
          <w:rFonts w:hint="eastAsia" w:ascii="Times New Roman" w:hAnsi="Times New Roman"/>
          <w:color w:val="auto"/>
          <w:kern w:val="2"/>
          <w:sz w:val="21"/>
          <w:szCs w:val="21"/>
          <w:highlight w:val="none"/>
          <w:lang w:val="en-US" w:eastAsia="zh-CN"/>
        </w:rPr>
        <w:t>乙方</w:t>
      </w:r>
      <w:r>
        <w:rPr>
          <w:rFonts w:ascii="Times New Roman" w:hAnsi="Times New Roman"/>
          <w:color w:val="auto"/>
          <w:kern w:val="2"/>
          <w:sz w:val="21"/>
          <w:szCs w:val="21"/>
          <w:highlight w:val="none"/>
        </w:rPr>
        <w:t>协商的费用。</w:t>
      </w:r>
    </w:p>
    <w:p>
      <w:pPr>
        <w:numPr>
          <w:ilvl w:val="0"/>
          <w:numId w:val="26"/>
        </w:numPr>
        <w:tabs>
          <w:tab w:val="left" w:pos="630"/>
        </w:tabs>
        <w:spacing w:line="300" w:lineRule="auto"/>
        <w:ind w:firstLine="0"/>
        <w:jc w:val="left"/>
        <w:outlineLvl w:val="1"/>
        <w:rPr>
          <w:rFonts w:ascii="宋体" w:hAnsi="宋体" w:cs="宋体"/>
          <w:b/>
          <w:color w:val="auto"/>
          <w:szCs w:val="21"/>
          <w:highlight w:val="none"/>
        </w:rPr>
      </w:pPr>
      <w:bookmarkStart w:id="108" w:name="_Toc7639"/>
      <w:r>
        <w:rPr>
          <w:rFonts w:hint="eastAsia" w:ascii="宋体" w:hAnsi="宋体" w:cs="宋体"/>
          <w:b/>
          <w:color w:val="auto"/>
          <w:szCs w:val="21"/>
          <w:highlight w:val="none"/>
        </w:rPr>
        <w:t>合同履行期限及地点</w:t>
      </w:r>
      <w:bookmarkEnd w:id="108"/>
    </w:p>
    <w:p>
      <w:pPr>
        <w:tabs>
          <w:tab w:val="left" w:pos="420"/>
        </w:tabs>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合同履行期限：自2021年9月1日至2022年12月31日止。</w:t>
      </w:r>
    </w:p>
    <w:p>
      <w:pPr>
        <w:tabs>
          <w:tab w:val="left" w:pos="420"/>
        </w:tabs>
        <w:spacing w:line="30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地点：甲方指定地点。</w:t>
      </w:r>
    </w:p>
    <w:p>
      <w:pPr>
        <w:pStyle w:val="2"/>
        <w:rPr>
          <w:rFonts w:hint="eastAsia" w:ascii="宋体" w:hAnsi="宋体" w:cs="宋体"/>
          <w:color w:val="auto"/>
          <w:szCs w:val="21"/>
          <w:highlight w:val="none"/>
        </w:rPr>
      </w:pPr>
    </w:p>
    <w:p>
      <w:pPr>
        <w:numPr>
          <w:ilvl w:val="0"/>
          <w:numId w:val="26"/>
        </w:numPr>
        <w:tabs>
          <w:tab w:val="left" w:pos="630"/>
        </w:tabs>
        <w:spacing w:line="300" w:lineRule="auto"/>
        <w:ind w:firstLine="0"/>
        <w:jc w:val="left"/>
        <w:outlineLvl w:val="1"/>
        <w:rPr>
          <w:rFonts w:ascii="宋体" w:hAnsi="宋体" w:cs="宋体"/>
          <w:b/>
          <w:color w:val="auto"/>
          <w:szCs w:val="21"/>
          <w:highlight w:val="none"/>
        </w:rPr>
      </w:pPr>
      <w:bookmarkStart w:id="109" w:name="_Toc18696"/>
      <w:r>
        <w:rPr>
          <w:rFonts w:hint="eastAsia" w:ascii="宋体" w:hAnsi="宋体" w:cs="宋体"/>
          <w:b/>
          <w:color w:val="auto"/>
          <w:szCs w:val="21"/>
          <w:highlight w:val="none"/>
        </w:rPr>
        <w:t>服务内容及相关要</w:t>
      </w:r>
      <w:r>
        <w:rPr>
          <w:rFonts w:hint="eastAsia" w:ascii="宋体" w:hAnsi="宋体" w:cs="宋体"/>
          <w:b/>
          <w:color w:val="auto"/>
          <w:szCs w:val="21"/>
          <w:highlight w:val="none"/>
          <w:lang w:val="en-US" w:eastAsia="zh-CN"/>
        </w:rPr>
        <w:t>求</w:t>
      </w:r>
      <w:bookmarkEnd w:id="109"/>
    </w:p>
    <w:p>
      <w:pPr>
        <w:keepNext w:val="0"/>
        <w:keepLines w:val="0"/>
        <w:pageBreakBefore w:val="0"/>
        <w:widowControl w:val="0"/>
        <w:numPr>
          <w:ilvl w:val="0"/>
          <w:numId w:val="29"/>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default" w:ascii="Times New Roman" w:hAnsi="Times New Roman"/>
          <w:b/>
          <w:bCs/>
          <w:color w:val="auto"/>
          <w:kern w:val="2"/>
          <w:sz w:val="21"/>
          <w:szCs w:val="21"/>
          <w:highlight w:val="none"/>
          <w:lang w:val="en-US" w:eastAsia="zh-CN"/>
        </w:rPr>
      </w:pPr>
      <w:r>
        <w:rPr>
          <w:rFonts w:hint="eastAsia" w:ascii="Times New Roman" w:hAnsi="Times New Roman"/>
          <w:b/>
          <w:bCs/>
          <w:color w:val="auto"/>
          <w:kern w:val="2"/>
          <w:sz w:val="21"/>
          <w:szCs w:val="21"/>
          <w:highlight w:val="none"/>
          <w:lang w:val="en-US" w:eastAsia="zh-CN"/>
        </w:rPr>
        <w:t>服务内容与人员配置要求</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项目经理（1人）：</w:t>
      </w:r>
    </w:p>
    <w:p>
      <w:pPr>
        <w:numPr>
          <w:ilvl w:val="0"/>
          <w:numId w:val="0"/>
        </w:numPr>
        <w:tabs>
          <w:tab w:val="left" w:pos="540"/>
        </w:tabs>
        <w:snapToGrid w:val="0"/>
        <w:spacing w:line="360" w:lineRule="auto"/>
        <w:ind w:left="400" w:left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本项目须</w:t>
      </w:r>
      <w:r>
        <w:rPr>
          <w:rFonts w:ascii="Times New Roman" w:hAnsi="Times New Roman"/>
          <w:bCs/>
          <w:color w:val="auto"/>
          <w:kern w:val="2"/>
          <w:sz w:val="21"/>
          <w:szCs w:val="21"/>
          <w:highlight w:val="none"/>
        </w:rPr>
        <w:t>配备1名驻场经理</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全面</w:t>
      </w:r>
      <w:r>
        <w:rPr>
          <w:rFonts w:ascii="Times New Roman" w:hAnsi="Times New Roman"/>
          <w:bCs/>
          <w:color w:val="auto"/>
          <w:kern w:val="2"/>
          <w:sz w:val="21"/>
          <w:szCs w:val="21"/>
          <w:highlight w:val="none"/>
        </w:rPr>
        <w:t>负责</w:t>
      </w:r>
      <w:r>
        <w:rPr>
          <w:rFonts w:hint="eastAsia" w:ascii="Times New Roman" w:hAnsi="Times New Roman"/>
          <w:bCs/>
          <w:color w:val="auto"/>
          <w:kern w:val="2"/>
          <w:sz w:val="21"/>
          <w:szCs w:val="21"/>
          <w:highlight w:val="none"/>
          <w:lang w:val="en-US" w:eastAsia="zh-CN"/>
        </w:rPr>
        <w:t>边检站的物业管理服务</w:t>
      </w:r>
      <w:r>
        <w:rPr>
          <w:rFonts w:ascii="Times New Roman" w:hAnsi="Times New Roman"/>
          <w:bCs/>
          <w:color w:val="auto"/>
          <w:kern w:val="2"/>
          <w:sz w:val="21"/>
          <w:szCs w:val="21"/>
          <w:highlight w:val="none"/>
        </w:rPr>
        <w:t>工作。</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保安组（8人）</w:t>
      </w:r>
      <w:r>
        <w:rPr>
          <w:rFonts w:ascii="Times New Roman" w:hAnsi="Times New Roman"/>
          <w:bCs/>
          <w:color w:val="auto"/>
          <w:kern w:val="2"/>
          <w:sz w:val="21"/>
          <w:szCs w:val="21"/>
          <w:highlight w:val="none"/>
        </w:rPr>
        <w:t>：</w:t>
      </w:r>
    </w:p>
    <w:p>
      <w:pPr>
        <w:pStyle w:val="17"/>
        <w:keepNext w:val="0"/>
        <w:keepLines w:val="0"/>
        <w:pageBreakBefore w:val="0"/>
        <w:widowControl w:val="0"/>
        <w:kinsoku/>
        <w:wordWrap/>
        <w:overflowPunct/>
        <w:topLinePunct w:val="0"/>
        <w:autoSpaceDE/>
        <w:autoSpaceDN/>
        <w:bidi w:val="0"/>
        <w:adjustRightInd/>
        <w:spacing w:after="0" w:line="360" w:lineRule="auto"/>
        <w:ind w:firstLine="420" w:firstLineChars="200"/>
        <w:rPr>
          <w:rFonts w:hint="default" w:eastAsia="宋体"/>
          <w:color w:val="auto"/>
          <w:sz w:val="21"/>
          <w:szCs w:val="21"/>
          <w:highlight w:val="none"/>
          <w:lang w:val="en-US" w:eastAsia="zh-CN"/>
        </w:rPr>
      </w:pPr>
      <w:r>
        <w:rPr>
          <w:rFonts w:hint="eastAsia" w:ascii="Times New Roman" w:hAnsi="Times New Roman"/>
          <w:bCs/>
          <w:color w:val="auto"/>
          <w:kern w:val="2"/>
          <w:sz w:val="21"/>
          <w:szCs w:val="21"/>
          <w:highlight w:val="none"/>
          <w:lang w:val="en-US" w:eastAsia="zh-CN"/>
        </w:rPr>
        <w:t>1）边检站范围占地7227平方米，设一个出入口，须配备6名保安轮流值班（含1名保安领班）。里水场地看管，设一个出入口，须配备2名保安轮流值班。保安领班负责保安组人员的管理。</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jc w:val="both"/>
        <w:textAlignment w:val="baseline"/>
        <w:rPr>
          <w:rFonts w:hint="default"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2）工作要求：</w:t>
      </w:r>
      <w:r>
        <w:rPr>
          <w:rFonts w:ascii="Times New Roman" w:hAnsi="Times New Roman"/>
          <w:bCs/>
          <w:color w:val="auto"/>
          <w:kern w:val="2"/>
          <w:sz w:val="21"/>
          <w:szCs w:val="21"/>
          <w:highlight w:val="none"/>
        </w:rPr>
        <w:t>出入口点24小时值班，站区范围内每两个小时巡检一次</w:t>
      </w:r>
      <w:r>
        <w:rPr>
          <w:rFonts w:hint="eastAsia" w:ascii="Times New Roman" w:hAnsi="Times New Roman"/>
          <w:bCs/>
          <w:color w:val="auto"/>
          <w:kern w:val="2"/>
          <w:sz w:val="21"/>
          <w:szCs w:val="21"/>
          <w:highlight w:val="none"/>
          <w:lang w:val="en-US" w:eastAsia="zh-CN"/>
        </w:rPr>
        <w:t>；里水场地</w:t>
      </w:r>
      <w:r>
        <w:rPr>
          <w:rFonts w:ascii="Times New Roman" w:hAnsi="Times New Roman"/>
          <w:bCs/>
          <w:color w:val="auto"/>
          <w:kern w:val="2"/>
          <w:sz w:val="21"/>
          <w:szCs w:val="21"/>
          <w:highlight w:val="none"/>
        </w:rPr>
        <w:t>范围内白天至少巡检两次，夜间至少巡检一次。</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会务员（1人）</w:t>
      </w:r>
      <w:r>
        <w:rPr>
          <w:rFonts w:ascii="Times New Roman" w:hAnsi="Times New Roman"/>
          <w:bCs/>
          <w:color w:val="auto"/>
          <w:kern w:val="2"/>
          <w:sz w:val="21"/>
          <w:szCs w:val="21"/>
          <w:highlight w:val="none"/>
        </w:rPr>
        <w:t>：</w:t>
      </w:r>
    </w:p>
    <w:p>
      <w:pPr>
        <w:keepNext w:val="0"/>
        <w:keepLines w:val="0"/>
        <w:pageBreakBefore w:val="0"/>
        <w:widowControl w:val="0"/>
        <w:numPr>
          <w:ilvl w:val="0"/>
          <w:numId w:val="31"/>
        </w:numPr>
        <w:tabs>
          <w:tab w:val="left" w:pos="54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本项目须配置1名会务员，负责协助各部门做好各类会议、活动、接待的现场会务保障工作。</w:t>
      </w:r>
    </w:p>
    <w:p>
      <w:pPr>
        <w:keepNext w:val="0"/>
        <w:keepLines w:val="0"/>
        <w:pageBreakBefore w:val="0"/>
        <w:widowControl w:val="0"/>
        <w:numPr>
          <w:ilvl w:val="0"/>
          <w:numId w:val="31"/>
        </w:numPr>
        <w:tabs>
          <w:tab w:val="left" w:pos="540"/>
        </w:tabs>
        <w:kinsoku/>
        <w:wordWrap/>
        <w:overflowPunct/>
        <w:topLinePunct w:val="0"/>
        <w:autoSpaceDE/>
        <w:autoSpaceDN/>
        <w:bidi w:val="0"/>
        <w:adjustRightInd/>
        <w:snapToGrid w:val="0"/>
        <w:spacing w:line="360" w:lineRule="auto"/>
        <w:ind w:left="0" w:leftChars="0" w:firstLine="420" w:firstLineChars="20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工作要求：接到会议、活动、接待通知，须提前半个小时到会场做好各类会议、活动、接待准备工作，包括清洗茶具，端倒茶水，清洗摆放各类会议、活动所需的物品，并保持会前、会后的会议桌面、茶水台、茶杯茶具干净整洁。</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清洁组（6人）：</w:t>
      </w:r>
    </w:p>
    <w:p>
      <w:pPr>
        <w:pStyle w:val="17"/>
        <w:keepNext w:val="0"/>
        <w:keepLines w:val="0"/>
        <w:pageBreakBefore w:val="0"/>
        <w:widowControl w:val="0"/>
        <w:kinsoku/>
        <w:wordWrap/>
        <w:overflowPunct/>
        <w:topLinePunct w:val="0"/>
        <w:autoSpaceDE/>
        <w:autoSpaceDN/>
        <w:bidi w:val="0"/>
        <w:adjustRightInd/>
        <w:spacing w:after="0" w:line="360" w:lineRule="auto"/>
        <w:ind w:firstLine="420" w:firstLineChars="200"/>
        <w:rPr>
          <w:rFonts w:hint="default"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1）</w:t>
      </w:r>
      <w:r>
        <w:rPr>
          <w:rFonts w:ascii="Times New Roman" w:hAnsi="Times New Roman" w:cs="Times New Roman"/>
          <w:bCs/>
          <w:color w:val="auto"/>
          <w:kern w:val="2"/>
          <w:sz w:val="21"/>
          <w:szCs w:val="21"/>
          <w:highlight w:val="none"/>
        </w:rPr>
        <w:t>边检站范围内所有楼层及所有公共场所的保洁，其中包括除个人宿舍外的所有办公室、会议室等功能库室。边检站共三栋楼，1号楼需配3个清洁员（含清洁领班1人）、2号楼需配1名清洁员、3号楼需配1名清洁员，操场车场等公共场所需配1名清洁人员，功能库室由清洁领班分配打扫。</w:t>
      </w:r>
    </w:p>
    <w:p>
      <w:pPr>
        <w:tabs>
          <w:tab w:val="left" w:pos="540"/>
        </w:tabs>
        <w:snapToGrid w:val="0"/>
        <w:spacing w:line="360" w:lineRule="auto"/>
        <w:ind w:firstLine="420" w:firstLineChars="200"/>
        <w:jc w:val="both"/>
        <w:textAlignment w:val="baseline"/>
        <w:rPr>
          <w:rFonts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2）工作要求：</w:t>
      </w:r>
      <w:r>
        <w:rPr>
          <w:rFonts w:ascii="Times New Roman" w:hAnsi="Times New Roman" w:eastAsia="宋体" w:cs="Times New Roman"/>
          <w:bCs/>
          <w:color w:val="auto"/>
          <w:kern w:val="2"/>
          <w:sz w:val="21"/>
          <w:szCs w:val="21"/>
          <w:highlight w:val="none"/>
          <w:lang w:val="en-US" w:eastAsia="zh-CN" w:bidi="ar-SA"/>
        </w:rPr>
        <w:t>办公室、公共场所等每天定时两次清洁（含地面、天花、墙面、窗、桌面、厕所、阳台等），功能库室每周至少打扫两次，库室使用前必须再打扫一次。</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餐饮</w:t>
      </w:r>
      <w:r>
        <w:rPr>
          <w:rFonts w:ascii="Times New Roman" w:hAnsi="Times New Roman"/>
          <w:bCs/>
          <w:color w:val="auto"/>
          <w:kern w:val="2"/>
          <w:sz w:val="21"/>
          <w:szCs w:val="21"/>
          <w:highlight w:val="none"/>
        </w:rPr>
        <w:t>组（6人）：</w:t>
      </w:r>
    </w:p>
    <w:p>
      <w:pPr>
        <w:pStyle w:val="17"/>
        <w:numPr>
          <w:ilvl w:val="0"/>
          <w:numId w:val="32"/>
        </w:numPr>
        <w:ind w:firstLine="420" w:firstLineChars="200"/>
        <w:rPr>
          <w:rFonts w:hint="eastAsia" w:ascii="Times New Roman" w:hAnsi="Times New Roman"/>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饭堂服务工作外包，其中边检站工作人员共120人。饭堂需为其工作人员提供一日三餐，需配备厨师长1人、厨师1人、面点师1人、厨房领班1人，厨工2人（其中一名为兼职人员）。</w:t>
      </w:r>
    </w:p>
    <w:p>
      <w:pPr>
        <w:pStyle w:val="17"/>
        <w:numPr>
          <w:ilvl w:val="0"/>
          <w:numId w:val="32"/>
        </w:numPr>
        <w:ind w:firstLine="420" w:firstLineChars="200"/>
        <w:rPr>
          <w:rFonts w:hint="eastAsia"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工作要求：包括但不限于</w:t>
      </w:r>
      <w:r>
        <w:rPr>
          <w:rFonts w:ascii="Times New Roman" w:hAnsi="Times New Roman"/>
          <w:bCs/>
          <w:color w:val="auto"/>
          <w:kern w:val="2"/>
          <w:sz w:val="21"/>
          <w:szCs w:val="21"/>
          <w:highlight w:val="none"/>
        </w:rPr>
        <w:t>餐前所有准备工作、分发饭菜、餐后的收拾工作</w:t>
      </w:r>
      <w:r>
        <w:rPr>
          <w:rFonts w:hint="eastAsia" w:ascii="Times New Roman" w:hAnsi="Times New Roman"/>
          <w:bCs/>
          <w:color w:val="auto"/>
          <w:kern w:val="2"/>
          <w:sz w:val="21"/>
          <w:szCs w:val="21"/>
          <w:highlight w:val="none"/>
          <w:lang w:eastAsia="zh-CN"/>
        </w:rPr>
        <w:t>。</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绿化员（1人）：</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本项目须</w:t>
      </w:r>
      <w:r>
        <w:rPr>
          <w:rFonts w:ascii="Times New Roman" w:hAnsi="Times New Roman"/>
          <w:bCs/>
          <w:color w:val="auto"/>
          <w:kern w:val="2"/>
          <w:sz w:val="21"/>
          <w:szCs w:val="21"/>
          <w:highlight w:val="none"/>
        </w:rPr>
        <w:t>配备1名兼职绿化管理员</w:t>
      </w:r>
      <w:r>
        <w:rPr>
          <w:rFonts w:hint="eastAsia" w:ascii="Times New Roman" w:hAnsi="Times New Roman"/>
          <w:bCs/>
          <w:color w:val="auto"/>
          <w:kern w:val="2"/>
          <w:sz w:val="21"/>
          <w:szCs w:val="21"/>
          <w:highlight w:val="none"/>
          <w:lang w:val="en-US" w:eastAsia="zh-CN"/>
        </w:rPr>
        <w:t>对</w:t>
      </w:r>
      <w:r>
        <w:rPr>
          <w:rFonts w:ascii="Times New Roman" w:hAnsi="Times New Roman"/>
          <w:bCs/>
          <w:color w:val="auto"/>
          <w:kern w:val="2"/>
          <w:sz w:val="21"/>
          <w:szCs w:val="21"/>
          <w:highlight w:val="none"/>
        </w:rPr>
        <w:t>站区内所有的绿化植物</w:t>
      </w:r>
      <w:r>
        <w:rPr>
          <w:rFonts w:hint="eastAsia" w:ascii="Times New Roman" w:hAnsi="Times New Roman"/>
          <w:bCs/>
          <w:color w:val="auto"/>
          <w:kern w:val="2"/>
          <w:sz w:val="21"/>
          <w:szCs w:val="21"/>
          <w:highlight w:val="none"/>
          <w:lang w:val="en-US" w:eastAsia="zh-CN"/>
        </w:rPr>
        <w:t>进行管理</w:t>
      </w:r>
      <w:r>
        <w:rPr>
          <w:rFonts w:ascii="Times New Roman" w:hAnsi="Times New Roman"/>
          <w:bCs/>
          <w:color w:val="auto"/>
          <w:kern w:val="2"/>
          <w:sz w:val="21"/>
          <w:szCs w:val="21"/>
          <w:highlight w:val="none"/>
        </w:rPr>
        <w:t>，包括乔木、灌木、花卉以及草皮等均需要浇水、除草、施肥等保养。</w:t>
      </w:r>
    </w:p>
    <w:p>
      <w:pPr>
        <w:numPr>
          <w:ilvl w:val="0"/>
          <w:numId w:val="30"/>
        </w:numPr>
        <w:tabs>
          <w:tab w:val="left" w:pos="540"/>
        </w:tabs>
        <w:snapToGrid w:val="0"/>
        <w:spacing w:line="360" w:lineRule="auto"/>
        <w:ind w:left="0" w:leftChars="0" w:firstLine="400" w:firstLineChars="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水电工（1人）：</w:t>
      </w:r>
    </w:p>
    <w:p>
      <w:pPr>
        <w:tabs>
          <w:tab w:val="left" w:pos="540"/>
        </w:tabs>
        <w:snapToGrid w:val="0"/>
        <w:spacing w:line="360" w:lineRule="auto"/>
        <w:ind w:firstLine="420" w:firstLineChars="200"/>
        <w:jc w:val="both"/>
        <w:textAlignment w:val="baseline"/>
        <w:rPr>
          <w:rFonts w:hint="eastAsia" w:ascii="Times New Roman" w:hAnsi="Times New Roman"/>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1）本项目须</w:t>
      </w:r>
      <w:r>
        <w:rPr>
          <w:rFonts w:ascii="Times New Roman" w:hAnsi="Times New Roman"/>
          <w:bCs/>
          <w:color w:val="auto"/>
          <w:kern w:val="2"/>
          <w:sz w:val="21"/>
          <w:szCs w:val="21"/>
          <w:highlight w:val="none"/>
        </w:rPr>
        <w:t>配备1名水电工</w:t>
      </w:r>
      <w:r>
        <w:rPr>
          <w:rFonts w:hint="eastAsia" w:ascii="Times New Roman" w:hAnsi="Times New Roman"/>
          <w:bCs/>
          <w:color w:val="auto"/>
          <w:kern w:val="2"/>
          <w:sz w:val="21"/>
          <w:szCs w:val="21"/>
          <w:highlight w:val="none"/>
          <w:lang w:val="en-US" w:eastAsia="zh-CN"/>
        </w:rPr>
        <w:t>提供</w:t>
      </w:r>
      <w:r>
        <w:rPr>
          <w:rFonts w:ascii="Times New Roman" w:hAnsi="Times New Roman"/>
          <w:bCs/>
          <w:color w:val="auto"/>
          <w:kern w:val="2"/>
          <w:sz w:val="21"/>
          <w:szCs w:val="21"/>
          <w:highlight w:val="none"/>
        </w:rPr>
        <w:t>专职驻点服务</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对</w:t>
      </w:r>
      <w:r>
        <w:rPr>
          <w:rFonts w:ascii="Times New Roman" w:hAnsi="Times New Roman"/>
          <w:bCs/>
          <w:color w:val="auto"/>
          <w:kern w:val="2"/>
          <w:sz w:val="21"/>
          <w:szCs w:val="21"/>
          <w:highlight w:val="none"/>
        </w:rPr>
        <w:t>站区内所有的水电</w:t>
      </w:r>
      <w:r>
        <w:rPr>
          <w:rFonts w:hint="eastAsia" w:ascii="Times New Roman" w:hAnsi="Times New Roman"/>
          <w:bCs/>
          <w:color w:val="auto"/>
          <w:kern w:val="2"/>
          <w:sz w:val="21"/>
          <w:szCs w:val="21"/>
          <w:highlight w:val="none"/>
          <w:lang w:val="en-US" w:eastAsia="zh-CN"/>
        </w:rPr>
        <w:t>进行维护管理。</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2）工作要求：</w:t>
      </w:r>
      <w:r>
        <w:rPr>
          <w:rFonts w:ascii="Times New Roman" w:hAnsi="Times New Roman"/>
          <w:bCs/>
          <w:color w:val="auto"/>
          <w:kern w:val="2"/>
          <w:sz w:val="21"/>
          <w:szCs w:val="21"/>
          <w:highlight w:val="none"/>
        </w:rPr>
        <w:t>水电工需要每天巡检站区内水电设施及站区设备1次并对出现问题的及时处理维护，站区内有任何突发应急事故，水电工必须马上处理。</w:t>
      </w:r>
    </w:p>
    <w:p>
      <w:pPr>
        <w:numPr>
          <w:ilvl w:val="0"/>
          <w:numId w:val="30"/>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理发师（1人）：</w:t>
      </w:r>
    </w:p>
    <w:p>
      <w:pPr>
        <w:numPr>
          <w:ilvl w:val="0"/>
          <w:numId w:val="0"/>
        </w:num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本项目须配备</w:t>
      </w:r>
      <w:r>
        <w:rPr>
          <w:rFonts w:ascii="Times New Roman" w:hAnsi="Times New Roman"/>
          <w:bCs/>
          <w:color w:val="auto"/>
          <w:kern w:val="2"/>
          <w:sz w:val="21"/>
          <w:szCs w:val="21"/>
          <w:highlight w:val="none"/>
        </w:rPr>
        <w:t>1名兼职理发师</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为</w:t>
      </w:r>
      <w:r>
        <w:rPr>
          <w:rFonts w:ascii="Times New Roman" w:hAnsi="Times New Roman"/>
          <w:bCs/>
          <w:color w:val="auto"/>
          <w:kern w:val="2"/>
          <w:sz w:val="21"/>
          <w:szCs w:val="21"/>
          <w:highlight w:val="none"/>
        </w:rPr>
        <w:t>边检站120名工作人员</w:t>
      </w:r>
      <w:r>
        <w:rPr>
          <w:rFonts w:hint="eastAsia" w:ascii="Times New Roman" w:hAnsi="Times New Roman"/>
          <w:bCs/>
          <w:color w:val="auto"/>
          <w:kern w:val="2"/>
          <w:sz w:val="21"/>
          <w:szCs w:val="21"/>
          <w:highlight w:val="none"/>
          <w:lang w:val="en-US" w:eastAsia="zh-CN"/>
        </w:rPr>
        <w:t>提供定期理发服务，其中</w:t>
      </w:r>
      <w:r>
        <w:rPr>
          <w:rFonts w:ascii="Times New Roman" w:hAnsi="Times New Roman"/>
          <w:bCs/>
          <w:color w:val="auto"/>
          <w:kern w:val="2"/>
          <w:sz w:val="21"/>
          <w:szCs w:val="21"/>
          <w:highlight w:val="none"/>
        </w:rPr>
        <w:t>男女比例</w:t>
      </w:r>
      <w:r>
        <w:rPr>
          <w:rFonts w:hint="eastAsia" w:ascii="Times New Roman" w:hAnsi="Times New Roman"/>
          <w:bCs/>
          <w:color w:val="auto"/>
          <w:kern w:val="2"/>
          <w:sz w:val="21"/>
          <w:szCs w:val="21"/>
          <w:highlight w:val="none"/>
          <w:lang w:val="en-US" w:eastAsia="zh-CN"/>
        </w:rPr>
        <w:t>按</w:t>
      </w:r>
      <w:r>
        <w:rPr>
          <w:rFonts w:ascii="Times New Roman" w:hAnsi="Times New Roman"/>
          <w:bCs/>
          <w:color w:val="auto"/>
          <w:kern w:val="2"/>
          <w:sz w:val="21"/>
          <w:szCs w:val="21"/>
          <w:highlight w:val="none"/>
        </w:rPr>
        <w:t>7:3计算</w:t>
      </w:r>
      <w:r>
        <w:rPr>
          <w:rFonts w:hint="eastAsia" w:ascii="Times New Roman" w:hAnsi="Times New Roman"/>
          <w:bCs/>
          <w:color w:val="auto"/>
          <w:kern w:val="2"/>
          <w:sz w:val="21"/>
          <w:szCs w:val="21"/>
          <w:highlight w:val="none"/>
          <w:lang w:eastAsia="zh-CN"/>
        </w:rPr>
        <w:t>。</w:t>
      </w:r>
      <w:r>
        <w:rPr>
          <w:rFonts w:ascii="Times New Roman" w:hAnsi="Times New Roman"/>
          <w:bCs/>
          <w:color w:val="auto"/>
          <w:kern w:val="2"/>
          <w:sz w:val="21"/>
          <w:szCs w:val="21"/>
          <w:highlight w:val="none"/>
        </w:rPr>
        <w:t>男生需定期每月理发一次至两次，理发师需要每个星期要有一天时间驻点提供理发服务。</w:t>
      </w:r>
    </w:p>
    <w:p>
      <w:pPr>
        <w:pStyle w:val="17"/>
        <w:rPr>
          <w:color w:val="auto"/>
          <w:sz w:val="21"/>
          <w:szCs w:val="21"/>
          <w:highlight w:val="none"/>
        </w:rPr>
      </w:pPr>
    </w:p>
    <w:p>
      <w:pPr>
        <w:keepNext w:val="0"/>
        <w:keepLines w:val="0"/>
        <w:pageBreakBefore w:val="0"/>
        <w:widowControl w:val="0"/>
        <w:numPr>
          <w:ilvl w:val="0"/>
          <w:numId w:val="29"/>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人员素质要求</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1、项目经理：具有本科或以上学历，</w:t>
      </w:r>
      <w:r>
        <w:rPr>
          <w:rFonts w:hint="eastAsia" w:ascii="Times New Roman" w:hAnsi="Times New Roman"/>
          <w:bCs/>
          <w:color w:val="auto"/>
          <w:kern w:val="2"/>
          <w:sz w:val="21"/>
          <w:szCs w:val="21"/>
          <w:highlight w:val="none"/>
        </w:rPr>
        <w:t>中级或以上职称</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具有</w:t>
      </w:r>
      <w:r>
        <w:rPr>
          <w:rFonts w:ascii="Times New Roman" w:hAnsi="Times New Roman"/>
          <w:bCs/>
          <w:color w:val="auto"/>
          <w:kern w:val="2"/>
          <w:szCs w:val="21"/>
          <w:highlight w:val="none"/>
        </w:rPr>
        <w:t>五年以上</w:t>
      </w:r>
      <w:r>
        <w:rPr>
          <w:rFonts w:ascii="Times New Roman" w:hAnsi="Times New Roman"/>
          <w:bCs/>
          <w:color w:val="auto"/>
          <w:kern w:val="2"/>
          <w:sz w:val="21"/>
          <w:szCs w:val="21"/>
          <w:highlight w:val="none"/>
        </w:rPr>
        <w:t>物业管理</w:t>
      </w:r>
      <w:r>
        <w:rPr>
          <w:rFonts w:hint="eastAsia" w:ascii="Times New Roman" w:hAnsi="Times New Roman"/>
          <w:bCs/>
          <w:color w:val="auto"/>
          <w:kern w:val="2"/>
          <w:sz w:val="21"/>
          <w:szCs w:val="21"/>
          <w:highlight w:val="none"/>
          <w:lang w:val="en-US" w:eastAsia="zh-CN"/>
        </w:rPr>
        <w:t>服务</w:t>
      </w:r>
      <w:r>
        <w:rPr>
          <w:rFonts w:ascii="Times New Roman" w:hAnsi="Times New Roman"/>
          <w:bCs/>
          <w:color w:val="auto"/>
          <w:kern w:val="2"/>
          <w:sz w:val="21"/>
          <w:szCs w:val="21"/>
          <w:highlight w:val="none"/>
        </w:rPr>
        <w:t>经验，主要负责本项目总体管理、协调、应急响应工作，对本项目因管理责任造成重大劳资纠纷、安全管理事故及顾客投诉事件有重大决策权。</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2、保安领班：</w:t>
      </w:r>
      <w:r>
        <w:rPr>
          <w:rFonts w:hint="eastAsia" w:ascii="Times New Roman" w:hAnsi="Times New Roman"/>
          <w:bCs/>
          <w:color w:val="auto"/>
          <w:kern w:val="2"/>
          <w:sz w:val="21"/>
          <w:szCs w:val="21"/>
          <w:highlight w:val="none"/>
        </w:rPr>
        <w:t>年龄45岁以下，退伍军人优先，身体健康，高中或以上学历，政历清楚，遵守国家的法律、法规和采购人的各项规章制度要求，严守工作秘密；有三年或以上保安管理工作经验，政治素质过硬，有较强的组织部门管理及沟通能力，需根据采购人要求对特种设备（含电梯）进行巡检等工作。</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3、保安员：男，年龄40岁以下，1.70米或以上，初中或以上文化，持保安证上岗，退伍军人优先，身体健康，体形适中，形象好，遵守国家的法律、法规</w:t>
      </w:r>
      <w:r>
        <w:rPr>
          <w:rFonts w:hint="eastAsia" w:ascii="Times New Roman" w:hAnsi="Times New Roman"/>
          <w:bCs/>
          <w:color w:val="auto"/>
          <w:kern w:val="2"/>
          <w:sz w:val="21"/>
          <w:szCs w:val="21"/>
          <w:highlight w:val="none"/>
          <w:lang w:eastAsia="zh-CN"/>
        </w:rPr>
        <w:t>甲方</w:t>
      </w:r>
      <w:r>
        <w:rPr>
          <w:rFonts w:ascii="Times New Roman" w:hAnsi="Times New Roman"/>
          <w:bCs/>
          <w:color w:val="auto"/>
          <w:kern w:val="2"/>
          <w:sz w:val="21"/>
          <w:szCs w:val="21"/>
          <w:highlight w:val="none"/>
        </w:rPr>
        <w:t>的各项规章制度要求，严守工作秘密；</w:t>
      </w:r>
      <w:r>
        <w:rPr>
          <w:rFonts w:ascii="Times New Roman" w:hAnsi="Times New Roman"/>
          <w:bCs/>
          <w:color w:val="auto"/>
          <w:kern w:val="2"/>
          <w:szCs w:val="21"/>
          <w:highlight w:val="none"/>
        </w:rPr>
        <w:t>具有一年或以上相关工作经验或</w:t>
      </w:r>
      <w:r>
        <w:rPr>
          <w:rFonts w:ascii="Times New Roman" w:hAnsi="Times New Roman"/>
          <w:bCs/>
          <w:color w:val="auto"/>
          <w:kern w:val="2"/>
          <w:sz w:val="21"/>
          <w:szCs w:val="21"/>
          <w:highlight w:val="none"/>
        </w:rPr>
        <w:t>经培训合格</w:t>
      </w:r>
      <w:r>
        <w:rPr>
          <w:rFonts w:hint="eastAsia" w:ascii="Times New Roman" w:hAnsi="Times New Roman"/>
          <w:bCs/>
          <w:color w:val="auto"/>
          <w:kern w:val="2"/>
          <w:sz w:val="21"/>
          <w:szCs w:val="21"/>
          <w:highlight w:val="none"/>
          <w:lang w:val="en-US" w:eastAsia="zh-CN"/>
        </w:rPr>
        <w:t>后上岗</w:t>
      </w:r>
      <w:r>
        <w:rPr>
          <w:rFonts w:ascii="Times New Roman" w:hAnsi="Times New Roman"/>
          <w:bCs/>
          <w:color w:val="auto"/>
          <w:kern w:val="2"/>
          <w:sz w:val="21"/>
          <w:szCs w:val="21"/>
          <w:highlight w:val="none"/>
        </w:rPr>
        <w:t>。</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4、会务员：女，年龄35岁以下，高中或以上文化，形象好，气质佳，沟通能力强，</w:t>
      </w:r>
      <w:r>
        <w:rPr>
          <w:rFonts w:hint="eastAsia" w:ascii="Times New Roman" w:hAnsi="Times New Roman"/>
          <w:bCs/>
          <w:color w:val="auto"/>
          <w:kern w:val="2"/>
          <w:sz w:val="21"/>
          <w:szCs w:val="21"/>
          <w:highlight w:val="none"/>
          <w:lang w:val="en-US" w:eastAsia="zh-CN"/>
        </w:rPr>
        <w:t>有相关</w:t>
      </w:r>
      <w:r>
        <w:rPr>
          <w:rFonts w:ascii="Times New Roman" w:hAnsi="Times New Roman"/>
          <w:bCs/>
          <w:color w:val="auto"/>
          <w:kern w:val="2"/>
          <w:sz w:val="21"/>
          <w:szCs w:val="21"/>
          <w:highlight w:val="none"/>
        </w:rPr>
        <w:t>会务工作经验。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5、保洁领班：女，45岁以下，形象好，有</w:t>
      </w:r>
      <w:r>
        <w:rPr>
          <w:rFonts w:hint="eastAsia" w:ascii="Times New Roman" w:hAnsi="Times New Roman"/>
          <w:bCs/>
          <w:color w:val="auto"/>
          <w:kern w:val="2"/>
          <w:sz w:val="21"/>
          <w:szCs w:val="21"/>
          <w:highlight w:val="none"/>
          <w:lang w:val="en-US" w:eastAsia="zh-CN"/>
        </w:rPr>
        <w:t>丰富的相关</w:t>
      </w:r>
      <w:r>
        <w:rPr>
          <w:rFonts w:ascii="Times New Roman" w:hAnsi="Times New Roman"/>
          <w:bCs/>
          <w:color w:val="auto"/>
          <w:kern w:val="2"/>
          <w:sz w:val="21"/>
          <w:szCs w:val="21"/>
          <w:highlight w:val="none"/>
        </w:rPr>
        <w:t>服务管理工作经验，有较强的组织能力。</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6、保洁员：女，50岁以下，形象好，有清洁服务工作经验。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7、厨师</w:t>
      </w:r>
      <w:r>
        <w:rPr>
          <w:rFonts w:hint="eastAsia" w:ascii="Times New Roman" w:hAnsi="Times New Roman"/>
          <w:bCs/>
          <w:color w:val="auto"/>
          <w:kern w:val="2"/>
          <w:sz w:val="21"/>
          <w:szCs w:val="21"/>
          <w:highlight w:val="none"/>
          <w:lang w:val="en-US" w:eastAsia="zh-CN"/>
        </w:rPr>
        <w:t>长或厨师</w:t>
      </w:r>
      <w:r>
        <w:rPr>
          <w:rFonts w:ascii="Times New Roman" w:hAnsi="Times New Roman"/>
          <w:bCs/>
          <w:color w:val="auto"/>
          <w:kern w:val="2"/>
          <w:sz w:val="21"/>
          <w:szCs w:val="21"/>
          <w:highlight w:val="none"/>
        </w:rPr>
        <w:t>：男，50岁以下，身体健康，初中</w:t>
      </w:r>
      <w:r>
        <w:rPr>
          <w:rFonts w:hint="eastAsia" w:ascii="Times New Roman" w:hAnsi="Times New Roman"/>
          <w:bCs/>
          <w:color w:val="auto"/>
          <w:kern w:val="2"/>
          <w:sz w:val="21"/>
          <w:szCs w:val="21"/>
          <w:highlight w:val="none"/>
          <w:lang w:val="en-US" w:eastAsia="zh-CN"/>
        </w:rPr>
        <w:t>或以上学历</w:t>
      </w:r>
      <w:r>
        <w:rPr>
          <w:rFonts w:ascii="Times New Roman" w:hAnsi="Times New Roman"/>
          <w:bCs/>
          <w:color w:val="auto"/>
          <w:kern w:val="2"/>
          <w:sz w:val="21"/>
          <w:szCs w:val="21"/>
          <w:highlight w:val="none"/>
        </w:rPr>
        <w:t>，持有中式烹调师证，有多年餐饮工作经验。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8、厨工：50岁以下，身体健康，初中</w:t>
      </w:r>
      <w:r>
        <w:rPr>
          <w:rFonts w:hint="eastAsia" w:ascii="Times New Roman" w:hAnsi="Times New Roman"/>
          <w:bCs/>
          <w:color w:val="auto"/>
          <w:kern w:val="2"/>
          <w:sz w:val="21"/>
          <w:szCs w:val="21"/>
          <w:highlight w:val="none"/>
          <w:lang w:val="en-US" w:eastAsia="zh-CN"/>
        </w:rPr>
        <w:t>或以上学历</w:t>
      </w:r>
      <w:r>
        <w:rPr>
          <w:rFonts w:ascii="Times New Roman" w:hAnsi="Times New Roman"/>
          <w:bCs/>
          <w:color w:val="auto"/>
          <w:kern w:val="2"/>
          <w:sz w:val="21"/>
          <w:szCs w:val="21"/>
          <w:highlight w:val="none"/>
        </w:rPr>
        <w:t>，能吃苦耐劳，有厨房工作经验。</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9、面点师：50岁以下，身体健康，初中</w:t>
      </w:r>
      <w:r>
        <w:rPr>
          <w:rFonts w:hint="eastAsia" w:ascii="Times New Roman" w:hAnsi="Times New Roman"/>
          <w:bCs/>
          <w:color w:val="auto"/>
          <w:kern w:val="2"/>
          <w:sz w:val="21"/>
          <w:szCs w:val="21"/>
          <w:highlight w:val="none"/>
          <w:lang w:val="en-US" w:eastAsia="zh-CN"/>
        </w:rPr>
        <w:t>或以上学历</w:t>
      </w:r>
      <w:r>
        <w:rPr>
          <w:rFonts w:ascii="Times New Roman" w:hAnsi="Times New Roman"/>
          <w:bCs/>
          <w:color w:val="auto"/>
          <w:kern w:val="2"/>
          <w:sz w:val="21"/>
          <w:szCs w:val="21"/>
          <w:highlight w:val="none"/>
        </w:rPr>
        <w:t>，持中式面点师或西式面点师证书，有相关工作经验，会制作各种糕点，面食，包括馅心制作、膨松面品制作、水调面品制作、层酥面品制作。</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10、</w:t>
      </w:r>
      <w:r>
        <w:rPr>
          <w:rFonts w:hint="eastAsia" w:ascii="Times New Roman" w:hAnsi="Times New Roman"/>
          <w:bCs/>
          <w:color w:val="auto"/>
          <w:kern w:val="2"/>
          <w:sz w:val="21"/>
          <w:szCs w:val="21"/>
          <w:highlight w:val="none"/>
          <w:lang w:val="en-US" w:eastAsia="zh-CN"/>
        </w:rPr>
        <w:t>水</w:t>
      </w:r>
      <w:r>
        <w:rPr>
          <w:rFonts w:ascii="Times New Roman" w:hAnsi="Times New Roman"/>
          <w:bCs/>
          <w:color w:val="auto"/>
          <w:kern w:val="2"/>
          <w:sz w:val="21"/>
          <w:szCs w:val="21"/>
          <w:highlight w:val="none"/>
        </w:rPr>
        <w:t>电工：男，年龄50岁以下，身体健康，</w:t>
      </w:r>
      <w:r>
        <w:rPr>
          <w:rFonts w:hint="eastAsia" w:ascii="Times New Roman" w:hAnsi="Times New Roman"/>
          <w:b/>
          <w:bCs w:val="0"/>
          <w:color w:val="auto"/>
          <w:kern w:val="2"/>
          <w:sz w:val="21"/>
          <w:szCs w:val="21"/>
          <w:highlight w:val="none"/>
        </w:rPr>
        <w:t>持电工职业资格证书上岗</w:t>
      </w:r>
      <w:r>
        <w:rPr>
          <w:rFonts w:hint="eastAsia"/>
          <w:bCs/>
          <w:color w:val="auto"/>
          <w:kern w:val="2"/>
          <w:sz w:val="21"/>
          <w:szCs w:val="21"/>
          <w:highlight w:val="none"/>
          <w:lang w:eastAsia="zh-CN"/>
        </w:rPr>
        <w:t>，</w:t>
      </w:r>
      <w:r>
        <w:rPr>
          <w:rFonts w:ascii="Times New Roman" w:hAnsi="Times New Roman"/>
          <w:bCs/>
          <w:color w:val="auto"/>
          <w:kern w:val="2"/>
          <w:szCs w:val="21"/>
          <w:highlight w:val="none"/>
        </w:rPr>
        <w:t>有两年以上电工工作经验</w:t>
      </w:r>
      <w:r>
        <w:rPr>
          <w:rFonts w:ascii="Times New Roman" w:hAnsi="Times New Roman"/>
          <w:bCs/>
          <w:color w:val="auto"/>
          <w:kern w:val="2"/>
          <w:sz w:val="21"/>
          <w:szCs w:val="21"/>
          <w:highlight w:val="none"/>
        </w:rPr>
        <w:t>。</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11、理发师：男，年龄40岁以下，身体健康，理发技术好、服务态度佳，具有技术总监</w:t>
      </w:r>
      <w:r>
        <w:rPr>
          <w:rFonts w:hint="eastAsia" w:ascii="Times New Roman" w:hAnsi="Times New Roman"/>
          <w:bCs/>
          <w:color w:val="auto"/>
          <w:kern w:val="2"/>
          <w:sz w:val="21"/>
          <w:szCs w:val="21"/>
          <w:highlight w:val="none"/>
          <w:lang w:val="en-US" w:eastAsia="zh-CN"/>
        </w:rPr>
        <w:t>头衔</w:t>
      </w:r>
      <w:r>
        <w:rPr>
          <w:rFonts w:ascii="Times New Roman" w:hAnsi="Times New Roman"/>
          <w:bCs/>
          <w:color w:val="auto"/>
          <w:kern w:val="2"/>
          <w:sz w:val="21"/>
          <w:szCs w:val="21"/>
          <w:highlight w:val="none"/>
        </w:rPr>
        <w:t>。</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注：以上人员</w:t>
      </w:r>
      <w:r>
        <w:rPr>
          <w:rFonts w:hint="eastAsia" w:ascii="Times New Roman" w:hAnsi="Times New Roman"/>
          <w:bCs/>
          <w:color w:val="auto"/>
          <w:kern w:val="2"/>
          <w:sz w:val="21"/>
          <w:szCs w:val="21"/>
          <w:highlight w:val="none"/>
          <w:lang w:eastAsia="zh-CN"/>
        </w:rPr>
        <w:t>甲方</w:t>
      </w:r>
      <w:r>
        <w:rPr>
          <w:rFonts w:ascii="Times New Roman" w:hAnsi="Times New Roman"/>
          <w:bCs/>
          <w:color w:val="auto"/>
          <w:kern w:val="2"/>
          <w:sz w:val="21"/>
          <w:szCs w:val="21"/>
          <w:highlight w:val="none"/>
        </w:rPr>
        <w:t>只提供员工上班时间的工作餐，员工的住宿由</w:t>
      </w:r>
      <w:r>
        <w:rPr>
          <w:rFonts w:hint="eastAsia" w:ascii="Times New Roman" w:hAnsi="Times New Roman"/>
          <w:bCs/>
          <w:color w:val="auto"/>
          <w:kern w:val="2"/>
          <w:sz w:val="21"/>
          <w:szCs w:val="21"/>
          <w:highlight w:val="none"/>
          <w:lang w:val="en-US" w:eastAsia="zh-CN"/>
        </w:rPr>
        <w:t>乙方负责</w:t>
      </w:r>
      <w:r>
        <w:rPr>
          <w:rFonts w:ascii="Times New Roman" w:hAnsi="Times New Roman"/>
          <w:bCs/>
          <w:color w:val="auto"/>
          <w:kern w:val="2"/>
          <w:sz w:val="21"/>
          <w:szCs w:val="21"/>
          <w:highlight w:val="none"/>
        </w:rPr>
        <w:t>提供</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费用已包含在月度物业管理服务费中，甲方不另行支付</w:t>
      </w:r>
      <w:r>
        <w:rPr>
          <w:rFonts w:ascii="Times New Roman" w:hAnsi="Times New Roman"/>
          <w:bCs/>
          <w:color w:val="auto"/>
          <w:kern w:val="2"/>
          <w:sz w:val="21"/>
          <w:szCs w:val="21"/>
          <w:highlight w:val="none"/>
        </w:rPr>
        <w:t>。</w:t>
      </w:r>
    </w:p>
    <w:p>
      <w:pPr>
        <w:pStyle w:val="17"/>
        <w:rPr>
          <w:color w:val="auto"/>
          <w:highlight w:val="none"/>
        </w:rPr>
      </w:pPr>
    </w:p>
    <w:p>
      <w:pPr>
        <w:keepNext w:val="0"/>
        <w:keepLines w:val="0"/>
        <w:pageBreakBefore w:val="0"/>
        <w:widowControl w:val="0"/>
        <w:numPr>
          <w:ilvl w:val="0"/>
          <w:numId w:val="29"/>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人员着装要求</w:t>
      </w:r>
    </w:p>
    <w:p>
      <w:pPr>
        <w:tabs>
          <w:tab w:val="left" w:pos="540"/>
        </w:tabs>
        <w:snapToGrid w:val="0"/>
        <w:spacing w:line="360" w:lineRule="auto"/>
        <w:ind w:firstLine="420" w:firstLineChars="200"/>
        <w:jc w:val="both"/>
        <w:textAlignment w:val="baseline"/>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本项目服务人员工作期间需</w:t>
      </w:r>
      <w:r>
        <w:rPr>
          <w:rFonts w:ascii="Times New Roman" w:hAnsi="Times New Roman"/>
          <w:bCs/>
          <w:color w:val="auto"/>
          <w:kern w:val="2"/>
          <w:sz w:val="21"/>
          <w:szCs w:val="21"/>
          <w:highlight w:val="none"/>
        </w:rPr>
        <w:t>统一服装，统一标志，</w:t>
      </w:r>
      <w:r>
        <w:rPr>
          <w:rFonts w:hint="eastAsia" w:ascii="Times New Roman" w:hAnsi="Times New Roman"/>
          <w:bCs/>
          <w:color w:val="auto"/>
          <w:kern w:val="2"/>
          <w:sz w:val="21"/>
          <w:szCs w:val="21"/>
          <w:highlight w:val="none"/>
        </w:rPr>
        <w:t>保</w:t>
      </w:r>
      <w:r>
        <w:rPr>
          <w:rFonts w:ascii="Times New Roman" w:hAnsi="Times New Roman"/>
          <w:bCs/>
          <w:color w:val="auto"/>
          <w:kern w:val="2"/>
          <w:sz w:val="21"/>
          <w:szCs w:val="21"/>
          <w:highlight w:val="none"/>
        </w:rPr>
        <w:t>持衣服整洁、卫生、合身</w:t>
      </w:r>
      <w:r>
        <w:rPr>
          <w:rFonts w:hint="eastAsia" w:ascii="Times New Roman" w:hAnsi="Times New Roman"/>
          <w:bCs/>
          <w:color w:val="auto"/>
          <w:kern w:val="2"/>
          <w:sz w:val="21"/>
          <w:szCs w:val="21"/>
          <w:highlight w:val="none"/>
          <w:lang w:eastAsia="zh-CN"/>
        </w:rPr>
        <w:t>，</w:t>
      </w:r>
      <w:r>
        <w:rPr>
          <w:rFonts w:hint="eastAsia" w:ascii="Times New Roman" w:hAnsi="Times New Roman"/>
          <w:bCs/>
          <w:color w:val="auto"/>
          <w:kern w:val="2"/>
          <w:sz w:val="21"/>
          <w:szCs w:val="21"/>
          <w:highlight w:val="none"/>
          <w:lang w:val="en-US" w:eastAsia="zh-CN"/>
        </w:rPr>
        <w:t>具体着装要求如下</w:t>
      </w:r>
      <w:r>
        <w:rPr>
          <w:rFonts w:ascii="Times New Roman" w:hAnsi="Times New Roman"/>
          <w:bCs/>
          <w:color w:val="auto"/>
          <w:kern w:val="2"/>
          <w:sz w:val="21"/>
          <w:szCs w:val="21"/>
          <w:highlight w:val="none"/>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535"/>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序号</w:t>
            </w:r>
          </w:p>
        </w:tc>
        <w:tc>
          <w:tcPr>
            <w:tcW w:w="3535" w:type="dxa"/>
          </w:tcPr>
          <w:p>
            <w:pPr>
              <w:pStyle w:val="17"/>
              <w:jc w:val="center"/>
              <w:rPr>
                <w:rFonts w:hint="default"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类别</w:t>
            </w:r>
          </w:p>
        </w:tc>
        <w:tc>
          <w:tcPr>
            <w:tcW w:w="2322" w:type="dxa"/>
          </w:tcPr>
          <w:p>
            <w:pPr>
              <w:pStyle w:val="17"/>
              <w:jc w:val="center"/>
              <w:rPr>
                <w:rFonts w:hint="eastAsia"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数量</w:t>
            </w:r>
          </w:p>
        </w:tc>
        <w:tc>
          <w:tcPr>
            <w:tcW w:w="2322" w:type="dxa"/>
          </w:tcPr>
          <w:p>
            <w:pPr>
              <w:pStyle w:val="17"/>
              <w:jc w:val="center"/>
              <w:rPr>
                <w:rFonts w:hint="eastAsia" w:ascii="Times New Roman" w:hAnsi="Times New Roman" w:eastAsia="宋体"/>
                <w:b/>
                <w:bCs w:val="0"/>
                <w:color w:val="auto"/>
                <w:kern w:val="2"/>
                <w:sz w:val="21"/>
                <w:szCs w:val="21"/>
                <w:highlight w:val="none"/>
                <w:vertAlign w:val="baseline"/>
                <w:lang w:val="en-US" w:eastAsia="zh-CN"/>
              </w:rPr>
            </w:pPr>
            <w:r>
              <w:rPr>
                <w:rFonts w:hint="eastAsia" w:ascii="Times New Roman" w:hAnsi="Times New Roman"/>
                <w:b/>
                <w:bCs w:val="0"/>
                <w:color w:val="auto"/>
                <w:kern w:val="2"/>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w:t>
            </w:r>
          </w:p>
        </w:tc>
        <w:tc>
          <w:tcPr>
            <w:tcW w:w="3535" w:type="dxa"/>
            <w:vAlign w:val="center"/>
          </w:tcPr>
          <w:p>
            <w:pPr>
              <w:snapToGrid w:val="0"/>
              <w:spacing w:line="360" w:lineRule="auto"/>
              <w:jc w:val="center"/>
              <w:textAlignment w:val="center"/>
              <w:rPr>
                <w:rFonts w:hint="default" w:ascii="Times New Roman" w:hAnsi="Times New Roman" w:eastAsia="宋体"/>
                <w:bCs/>
                <w:color w:val="auto"/>
                <w:kern w:val="2"/>
                <w:sz w:val="21"/>
                <w:szCs w:val="21"/>
                <w:highlight w:val="none"/>
                <w:vertAlign w:val="baseline"/>
                <w:lang w:val="en-US" w:eastAsia="zh-CN"/>
              </w:rPr>
            </w:pPr>
            <w:r>
              <w:rPr>
                <w:rFonts w:ascii="Times New Roman" w:hAnsi="Times New Roman"/>
                <w:color w:val="auto"/>
                <w:sz w:val="21"/>
                <w:szCs w:val="21"/>
                <w:highlight w:val="none"/>
              </w:rPr>
              <w:t>项目经理冬装</w:t>
            </w:r>
          </w:p>
        </w:tc>
        <w:tc>
          <w:tcPr>
            <w:tcW w:w="2322" w:type="dxa"/>
          </w:tcPr>
          <w:p>
            <w:pPr>
              <w:jc w:val="center"/>
              <w:rPr>
                <w:rFonts w:hint="default" w:ascii="Times New Roman" w:hAnsi="Times New Roman" w:eastAsia="宋体"/>
                <w:bCs/>
                <w:color w:val="auto"/>
                <w:kern w:val="2"/>
                <w:sz w:val="21"/>
                <w:szCs w:val="21"/>
                <w:highlight w:val="none"/>
                <w:vertAlign w:val="baseline"/>
                <w:lang w:val="en-US" w:eastAsia="zh-CN"/>
              </w:rPr>
            </w:pPr>
            <w:r>
              <w:rPr>
                <w:rFonts w:ascii="Times New Roman" w:hAnsi="Times New Roman"/>
                <w:color w:val="auto"/>
                <w:sz w:val="21"/>
                <w:szCs w:val="21"/>
                <w:highlight w:val="none"/>
              </w:rPr>
              <w:t>2套</w:t>
            </w:r>
          </w:p>
        </w:tc>
        <w:tc>
          <w:tcPr>
            <w:tcW w:w="2322" w:type="dxa"/>
            <w:vMerge w:val="restart"/>
            <w:vAlign w:val="center"/>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default" w:ascii="Times New Roman" w:hAnsi="Times New Roman" w:eastAsia="宋体"/>
                <w:bCs/>
                <w:color w:val="auto"/>
                <w:kern w:val="2"/>
                <w:sz w:val="21"/>
                <w:szCs w:val="21"/>
                <w:highlight w:val="none"/>
                <w:vertAlign w:val="baseline"/>
                <w:lang w:val="en-US" w:eastAsia="zh-CN"/>
              </w:rPr>
              <w:t>冬装</w:t>
            </w:r>
            <w:r>
              <w:rPr>
                <w:rFonts w:hint="eastAsia" w:ascii="Times New Roman" w:hAnsi="Times New Roman"/>
                <w:bCs/>
                <w:color w:val="auto"/>
                <w:kern w:val="2"/>
                <w:sz w:val="21"/>
                <w:szCs w:val="21"/>
                <w:highlight w:val="none"/>
                <w:vertAlign w:val="baseline"/>
                <w:lang w:val="en-US" w:eastAsia="zh-CN"/>
              </w:rPr>
              <w:t>每人各</w:t>
            </w:r>
            <w:r>
              <w:rPr>
                <w:rFonts w:hint="default" w:ascii="Times New Roman" w:hAnsi="Times New Roman" w:eastAsia="宋体"/>
                <w:bCs/>
                <w:color w:val="auto"/>
                <w:kern w:val="2"/>
                <w:sz w:val="21"/>
                <w:szCs w:val="21"/>
                <w:highlight w:val="none"/>
                <w:vertAlign w:val="baseline"/>
                <w:lang w:val="en-US" w:eastAsia="zh-CN"/>
              </w:rPr>
              <w:t>两套</w:t>
            </w:r>
          </w:p>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default" w:ascii="Times New Roman" w:hAnsi="Times New Roman" w:eastAsia="宋体"/>
                <w:bCs/>
                <w:color w:val="auto"/>
                <w:kern w:val="2"/>
                <w:sz w:val="21"/>
                <w:szCs w:val="21"/>
                <w:highlight w:val="none"/>
                <w:vertAlign w:val="baseline"/>
                <w:lang w:val="en-US" w:eastAsia="zh-CN"/>
              </w:rPr>
              <w:t>夏装</w:t>
            </w:r>
            <w:r>
              <w:rPr>
                <w:rFonts w:hint="eastAsia" w:ascii="Times New Roman" w:hAnsi="Times New Roman"/>
                <w:bCs/>
                <w:color w:val="auto"/>
                <w:kern w:val="2"/>
                <w:sz w:val="21"/>
                <w:szCs w:val="21"/>
                <w:highlight w:val="none"/>
                <w:vertAlign w:val="baseline"/>
                <w:lang w:val="en-US" w:eastAsia="zh-CN"/>
              </w:rPr>
              <w:t>每人各</w:t>
            </w:r>
            <w:r>
              <w:rPr>
                <w:rFonts w:hint="default" w:ascii="Times New Roman" w:hAnsi="Times New Roman" w:eastAsia="宋体"/>
                <w:bCs/>
                <w:color w:val="auto"/>
                <w:kern w:val="2"/>
                <w:sz w:val="21"/>
                <w:szCs w:val="21"/>
                <w:highlight w:val="none"/>
                <w:vertAlign w:val="baseline"/>
                <w:lang w:val="en-US" w:eastAsia="zh-CN"/>
              </w:rPr>
              <w:t>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2</w:t>
            </w:r>
          </w:p>
        </w:tc>
        <w:tc>
          <w:tcPr>
            <w:tcW w:w="3535" w:type="dxa"/>
            <w:vAlign w:val="center"/>
          </w:tcPr>
          <w:p>
            <w:pPr>
              <w:snapToGrid w:val="0"/>
              <w:spacing w:line="360" w:lineRule="auto"/>
              <w:jc w:val="center"/>
              <w:textAlignment w:val="center"/>
              <w:rPr>
                <w:rFonts w:hint="default" w:ascii="Times New Roman" w:hAnsi="Times New Roman" w:eastAsia="宋体"/>
                <w:bCs/>
                <w:color w:val="auto"/>
                <w:kern w:val="2"/>
                <w:sz w:val="21"/>
                <w:szCs w:val="21"/>
                <w:highlight w:val="none"/>
                <w:vertAlign w:val="baseline"/>
                <w:lang w:val="en-US" w:eastAsia="zh-CN"/>
              </w:rPr>
            </w:pPr>
            <w:r>
              <w:rPr>
                <w:rFonts w:ascii="Times New Roman" w:hAnsi="Times New Roman"/>
                <w:color w:val="auto"/>
                <w:sz w:val="21"/>
                <w:szCs w:val="21"/>
                <w:highlight w:val="none"/>
              </w:rPr>
              <w:t>项目经理夏装</w:t>
            </w:r>
          </w:p>
        </w:tc>
        <w:tc>
          <w:tcPr>
            <w:tcW w:w="2322" w:type="dxa"/>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3</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rPr>
              <w:t>保安组</w:t>
            </w:r>
            <w:r>
              <w:rPr>
                <w:rFonts w:ascii="Times New Roman" w:hAnsi="Times New Roman"/>
                <w:color w:val="auto"/>
                <w:sz w:val="21"/>
                <w:szCs w:val="21"/>
                <w:highlight w:val="none"/>
              </w:rPr>
              <w:t>冬装</w:t>
            </w:r>
          </w:p>
        </w:tc>
        <w:tc>
          <w:tcPr>
            <w:tcW w:w="2322" w:type="dxa"/>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16套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4</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rPr>
              <w:t>保安组</w:t>
            </w:r>
            <w:r>
              <w:rPr>
                <w:rFonts w:hint="eastAsia" w:ascii="Times New Roman" w:hAnsi="Times New Roman"/>
                <w:color w:val="auto"/>
                <w:sz w:val="21"/>
                <w:szCs w:val="21"/>
                <w:highlight w:val="none"/>
                <w:lang w:val="en-US" w:eastAsia="zh-CN"/>
              </w:rPr>
              <w:t>夏</w:t>
            </w:r>
            <w:r>
              <w:rPr>
                <w:rFonts w:ascii="Times New Roman" w:hAnsi="Times New Roman"/>
                <w:color w:val="auto"/>
                <w:sz w:val="21"/>
                <w:szCs w:val="21"/>
                <w:highlight w:val="none"/>
              </w:rPr>
              <w:t>装</w:t>
            </w:r>
          </w:p>
        </w:tc>
        <w:tc>
          <w:tcPr>
            <w:tcW w:w="2322"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lang w:val="en-US" w:eastAsia="zh-CN"/>
              </w:rPr>
              <w:t>16套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5</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lang w:val="en-US" w:eastAsia="zh-CN"/>
              </w:rPr>
              <w:t>会务员</w:t>
            </w:r>
            <w:r>
              <w:rPr>
                <w:rFonts w:ascii="Times New Roman" w:hAnsi="Times New Roman"/>
                <w:color w:val="auto"/>
                <w:sz w:val="21"/>
                <w:szCs w:val="21"/>
                <w:highlight w:val="none"/>
              </w:rPr>
              <w:t>冬装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eastAsia"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6</w:t>
            </w:r>
          </w:p>
        </w:tc>
        <w:tc>
          <w:tcPr>
            <w:tcW w:w="3535"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lang w:val="en-US" w:eastAsia="zh-CN"/>
              </w:rPr>
              <w:t>会务员</w:t>
            </w:r>
            <w:r>
              <w:rPr>
                <w:rFonts w:ascii="Times New Roman" w:hAnsi="Times New Roman"/>
                <w:color w:val="auto"/>
                <w:sz w:val="21"/>
                <w:szCs w:val="21"/>
                <w:highlight w:val="none"/>
              </w:rPr>
              <w:t>夏装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7</w:t>
            </w:r>
          </w:p>
        </w:tc>
        <w:tc>
          <w:tcPr>
            <w:tcW w:w="3535" w:type="dxa"/>
          </w:tcPr>
          <w:p>
            <w:pPr>
              <w:pStyle w:val="17"/>
              <w:jc w:val="center"/>
              <w:rPr>
                <w:rFonts w:ascii="Times New Roman" w:hAnsi="Times New Roman"/>
                <w:bCs/>
                <w:color w:val="auto"/>
                <w:kern w:val="2"/>
                <w:sz w:val="21"/>
                <w:szCs w:val="21"/>
                <w:highlight w:val="none"/>
                <w:vertAlign w:val="baseline"/>
              </w:rPr>
            </w:pPr>
            <w:r>
              <w:rPr>
                <w:rFonts w:ascii="Times New Roman" w:hAnsi="Times New Roman"/>
                <w:bCs/>
                <w:color w:val="auto"/>
                <w:kern w:val="2"/>
                <w:sz w:val="21"/>
                <w:szCs w:val="21"/>
                <w:highlight w:val="none"/>
              </w:rPr>
              <w:t>清洁组</w:t>
            </w:r>
            <w:r>
              <w:rPr>
                <w:rFonts w:ascii="Times New Roman" w:hAnsi="Times New Roman"/>
                <w:color w:val="auto"/>
                <w:sz w:val="21"/>
                <w:szCs w:val="21"/>
                <w:highlight w:val="none"/>
              </w:rPr>
              <w:t>冬装</w:t>
            </w:r>
          </w:p>
        </w:tc>
        <w:tc>
          <w:tcPr>
            <w:tcW w:w="2322" w:type="dxa"/>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8</w:t>
            </w:r>
          </w:p>
        </w:tc>
        <w:tc>
          <w:tcPr>
            <w:tcW w:w="3535" w:type="dxa"/>
          </w:tcPr>
          <w:p>
            <w:pPr>
              <w:pStyle w:val="17"/>
              <w:jc w:val="center"/>
              <w:rPr>
                <w:rFonts w:ascii="Times New Roman" w:hAnsi="Times New Roman"/>
                <w:bCs/>
                <w:color w:val="auto"/>
                <w:kern w:val="2"/>
                <w:sz w:val="21"/>
                <w:szCs w:val="21"/>
                <w:highlight w:val="none"/>
                <w:vertAlign w:val="baseline"/>
              </w:rPr>
            </w:pPr>
            <w:r>
              <w:rPr>
                <w:rFonts w:ascii="Times New Roman" w:hAnsi="Times New Roman"/>
                <w:bCs/>
                <w:color w:val="auto"/>
                <w:kern w:val="2"/>
                <w:sz w:val="21"/>
                <w:szCs w:val="21"/>
                <w:highlight w:val="none"/>
              </w:rPr>
              <w:t>清洁组</w:t>
            </w:r>
            <w:r>
              <w:rPr>
                <w:rFonts w:ascii="Times New Roman" w:hAnsi="Times New Roman"/>
                <w:color w:val="auto"/>
                <w:sz w:val="21"/>
                <w:szCs w:val="21"/>
                <w:highlight w:val="none"/>
              </w:rPr>
              <w:t>夏装</w:t>
            </w:r>
          </w:p>
        </w:tc>
        <w:tc>
          <w:tcPr>
            <w:tcW w:w="2322"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lang w:val="en-US" w:eastAsia="zh-CN"/>
              </w:rPr>
              <w:t>12套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9</w:t>
            </w:r>
          </w:p>
        </w:tc>
        <w:tc>
          <w:tcPr>
            <w:tcW w:w="3535" w:type="dxa"/>
          </w:tcPr>
          <w:p>
            <w:pPr>
              <w:pStyle w:val="17"/>
              <w:jc w:val="center"/>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餐饮</w:t>
            </w:r>
            <w:r>
              <w:rPr>
                <w:rFonts w:ascii="Times New Roman" w:hAnsi="Times New Roman"/>
                <w:bCs/>
                <w:color w:val="auto"/>
                <w:kern w:val="2"/>
                <w:sz w:val="21"/>
                <w:szCs w:val="21"/>
                <w:highlight w:val="none"/>
              </w:rPr>
              <w:t>组</w:t>
            </w:r>
            <w:r>
              <w:rPr>
                <w:rFonts w:ascii="Times New Roman" w:hAnsi="Times New Roman"/>
                <w:color w:val="auto"/>
                <w:sz w:val="21"/>
                <w:szCs w:val="21"/>
                <w:highlight w:val="none"/>
              </w:rPr>
              <w:t>冬装</w:t>
            </w:r>
          </w:p>
        </w:tc>
        <w:tc>
          <w:tcPr>
            <w:tcW w:w="2322" w:type="dxa"/>
          </w:tcPr>
          <w:p>
            <w:pPr>
              <w:pStyle w:val="17"/>
              <w:jc w:val="center"/>
              <w:rPr>
                <w:rFonts w:hint="default" w:ascii="Times New Roman" w:hAnsi="Times New Roman" w:eastAsia="宋体"/>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10套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10</w:t>
            </w:r>
          </w:p>
        </w:tc>
        <w:tc>
          <w:tcPr>
            <w:tcW w:w="3535" w:type="dxa"/>
          </w:tcPr>
          <w:p>
            <w:pPr>
              <w:pStyle w:val="17"/>
              <w:jc w:val="center"/>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餐饮</w:t>
            </w:r>
            <w:r>
              <w:rPr>
                <w:rFonts w:ascii="Times New Roman" w:hAnsi="Times New Roman"/>
                <w:bCs/>
                <w:color w:val="auto"/>
                <w:kern w:val="2"/>
                <w:sz w:val="21"/>
                <w:szCs w:val="21"/>
                <w:highlight w:val="none"/>
              </w:rPr>
              <w:t>组</w:t>
            </w:r>
            <w:r>
              <w:rPr>
                <w:rFonts w:ascii="Times New Roman" w:hAnsi="Times New Roman"/>
                <w:color w:val="auto"/>
                <w:sz w:val="21"/>
                <w:szCs w:val="21"/>
                <w:highlight w:val="none"/>
              </w:rPr>
              <w:t>夏装</w:t>
            </w:r>
          </w:p>
        </w:tc>
        <w:tc>
          <w:tcPr>
            <w:tcW w:w="2322" w:type="dxa"/>
          </w:tcPr>
          <w:p>
            <w:pPr>
              <w:pStyle w:val="17"/>
              <w:jc w:val="center"/>
              <w:rPr>
                <w:rFonts w:ascii="Times New Roman" w:hAnsi="Times New Roman"/>
                <w:bCs/>
                <w:color w:val="auto"/>
                <w:kern w:val="2"/>
                <w:sz w:val="21"/>
                <w:szCs w:val="21"/>
                <w:highlight w:val="none"/>
                <w:vertAlign w:val="baseline"/>
              </w:rPr>
            </w:pPr>
            <w:r>
              <w:rPr>
                <w:rFonts w:hint="eastAsia" w:ascii="Times New Roman" w:hAnsi="Times New Roman"/>
                <w:bCs/>
                <w:color w:val="auto"/>
                <w:kern w:val="2"/>
                <w:sz w:val="21"/>
                <w:szCs w:val="21"/>
                <w:highlight w:val="none"/>
                <w:vertAlign w:val="baseline"/>
                <w:lang w:val="en-US" w:eastAsia="zh-CN"/>
              </w:rPr>
              <w:t>10套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11</w:t>
            </w:r>
          </w:p>
        </w:tc>
        <w:tc>
          <w:tcPr>
            <w:tcW w:w="3535" w:type="dxa"/>
          </w:tcPr>
          <w:p>
            <w:pPr>
              <w:pStyle w:val="17"/>
              <w:jc w:val="center"/>
              <w:rPr>
                <w:rFonts w:hint="default"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lang w:val="en-US" w:eastAsia="zh-CN"/>
              </w:rPr>
              <w:t>水电工</w:t>
            </w:r>
            <w:r>
              <w:rPr>
                <w:rFonts w:ascii="Times New Roman" w:hAnsi="Times New Roman"/>
                <w:color w:val="auto"/>
                <w:sz w:val="21"/>
                <w:szCs w:val="21"/>
                <w:highlight w:val="none"/>
              </w:rPr>
              <w:t>冬装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12</w:t>
            </w:r>
          </w:p>
        </w:tc>
        <w:tc>
          <w:tcPr>
            <w:tcW w:w="3535" w:type="dxa"/>
          </w:tcPr>
          <w:p>
            <w:pPr>
              <w:pStyle w:val="17"/>
              <w:jc w:val="center"/>
              <w:rPr>
                <w:rFonts w:ascii="Times New Roman" w:hAnsi="Times New Roman"/>
                <w:bCs/>
                <w:color w:val="auto"/>
                <w:kern w:val="2"/>
                <w:sz w:val="21"/>
                <w:szCs w:val="21"/>
                <w:highlight w:val="none"/>
              </w:rPr>
            </w:pPr>
            <w:r>
              <w:rPr>
                <w:rFonts w:hint="eastAsia" w:ascii="Times New Roman" w:hAnsi="Times New Roman"/>
                <w:bCs/>
                <w:color w:val="auto"/>
                <w:kern w:val="2"/>
                <w:sz w:val="21"/>
                <w:szCs w:val="21"/>
                <w:highlight w:val="none"/>
                <w:lang w:val="en-US" w:eastAsia="zh-CN"/>
              </w:rPr>
              <w:t>水电工</w:t>
            </w:r>
            <w:r>
              <w:rPr>
                <w:rFonts w:ascii="Times New Roman" w:hAnsi="Times New Roman"/>
                <w:color w:val="auto"/>
                <w:sz w:val="21"/>
                <w:szCs w:val="21"/>
                <w:highlight w:val="none"/>
              </w:rPr>
              <w:t>夏装</w:t>
            </w:r>
          </w:p>
        </w:tc>
        <w:tc>
          <w:tcPr>
            <w:tcW w:w="2322" w:type="dxa"/>
            <w:vAlign w:val="top"/>
          </w:tcPr>
          <w:p>
            <w:pPr>
              <w:jc w:val="center"/>
              <w:rPr>
                <w:rFonts w:ascii="Times New Roman" w:hAnsi="Times New Roman"/>
                <w:bCs/>
                <w:color w:val="auto"/>
                <w:kern w:val="2"/>
                <w:sz w:val="21"/>
                <w:szCs w:val="21"/>
                <w:highlight w:val="none"/>
                <w:vertAlign w:val="baseline"/>
              </w:rPr>
            </w:pPr>
            <w:r>
              <w:rPr>
                <w:rFonts w:ascii="Times New Roman" w:hAnsi="Times New Roman"/>
                <w:color w:val="auto"/>
                <w:sz w:val="21"/>
                <w:szCs w:val="21"/>
                <w:highlight w:val="none"/>
              </w:rPr>
              <w:t>2套</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13</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大衣</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22</w:t>
            </w:r>
            <w:r>
              <w:rPr>
                <w:rFonts w:ascii="Times New Roman" w:hAnsi="Times New Roman"/>
                <w:color w:val="auto"/>
                <w:sz w:val="21"/>
                <w:szCs w:val="21"/>
                <w:highlight w:val="none"/>
              </w:rPr>
              <w:t>件</w:t>
            </w:r>
          </w:p>
        </w:tc>
        <w:tc>
          <w:tcPr>
            <w:tcW w:w="2322" w:type="dxa"/>
            <w:vMerge w:val="restart"/>
            <w:vAlign w:val="center"/>
          </w:tcPr>
          <w:p>
            <w:pPr>
              <w:pStyle w:val="17"/>
              <w:jc w:val="center"/>
              <w:rPr>
                <w:rFonts w:hint="eastAsia" w:ascii="Times New Roman" w:hAnsi="Times New Roman" w:eastAsia="宋体"/>
                <w:bCs/>
                <w:color w:val="auto"/>
                <w:kern w:val="2"/>
                <w:sz w:val="21"/>
                <w:szCs w:val="21"/>
                <w:highlight w:val="none"/>
                <w:vertAlign w:val="baseline"/>
                <w:lang w:eastAsia="zh-CN"/>
              </w:rPr>
            </w:pPr>
            <w:r>
              <w:rPr>
                <w:rFonts w:ascii="Times New Roman" w:hAnsi="Times New Roman"/>
                <w:color w:val="auto"/>
                <w:sz w:val="21"/>
                <w:szCs w:val="21"/>
                <w:highlight w:val="none"/>
              </w:rPr>
              <w:t>每人1件</w:t>
            </w:r>
            <w:r>
              <w:rPr>
                <w:rFonts w:hint="eastAsia"/>
                <w:color w:val="auto"/>
                <w:sz w:val="21"/>
                <w:szCs w:val="21"/>
                <w:highlight w:val="none"/>
                <w:lang w:val="en-US" w:eastAsia="zh-CN"/>
              </w:rPr>
              <w:t>/双</w:t>
            </w:r>
            <w:r>
              <w:rPr>
                <w:rFonts w:hint="eastAsia" w:ascii="Times New Roman" w:hAnsi="Times New Roman"/>
                <w:color w:val="auto"/>
                <w:sz w:val="21"/>
                <w:szCs w:val="21"/>
                <w:highlight w:val="none"/>
              </w:rPr>
              <w:t>（其中工牌25个，含兼职人员）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14</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雨衣</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22</w:t>
            </w:r>
            <w:r>
              <w:rPr>
                <w:rFonts w:ascii="Times New Roman" w:hAnsi="Times New Roman"/>
                <w:color w:val="auto"/>
                <w:sz w:val="21"/>
                <w:szCs w:val="21"/>
                <w:highlight w:val="none"/>
              </w:rPr>
              <w:t>件</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15</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雨鞋</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22</w:t>
            </w:r>
            <w:r>
              <w:rPr>
                <w:rFonts w:ascii="Times New Roman" w:hAnsi="Times New Roman"/>
                <w:color w:val="auto"/>
                <w:sz w:val="21"/>
                <w:szCs w:val="21"/>
                <w:highlight w:val="none"/>
              </w:rPr>
              <w:t>双</w:t>
            </w:r>
          </w:p>
        </w:tc>
        <w:tc>
          <w:tcPr>
            <w:tcW w:w="2322" w:type="dxa"/>
            <w:vMerge w:val="continue"/>
          </w:tcPr>
          <w:p>
            <w:pPr>
              <w:pStyle w:val="17"/>
              <w:rPr>
                <w:rFonts w:ascii="Times New Roman" w:hAnsi="Times New Roman"/>
                <w:bCs/>
                <w:color w:val="auto"/>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jc w:val="center"/>
              <w:rPr>
                <w:rFonts w:hint="default" w:ascii="Times New Roman" w:hAnsi="Times New Roman"/>
                <w:bCs/>
                <w:color w:val="auto"/>
                <w:kern w:val="2"/>
                <w:sz w:val="21"/>
                <w:szCs w:val="21"/>
                <w:highlight w:val="none"/>
                <w:vertAlign w:val="baseline"/>
                <w:lang w:val="en-US" w:eastAsia="zh-CN"/>
              </w:rPr>
            </w:pPr>
            <w:r>
              <w:rPr>
                <w:rFonts w:hint="eastAsia" w:ascii="Times New Roman" w:hAnsi="Times New Roman"/>
                <w:bCs/>
                <w:color w:val="auto"/>
                <w:kern w:val="2"/>
                <w:sz w:val="21"/>
                <w:szCs w:val="21"/>
                <w:highlight w:val="none"/>
                <w:vertAlign w:val="baseline"/>
                <w:lang w:val="en-US" w:eastAsia="zh-CN"/>
              </w:rPr>
              <w:t>16</w:t>
            </w:r>
          </w:p>
        </w:tc>
        <w:tc>
          <w:tcPr>
            <w:tcW w:w="3535" w:type="dxa"/>
            <w:vAlign w:val="center"/>
          </w:tcPr>
          <w:p>
            <w:pPr>
              <w:snapToGrid w:val="0"/>
              <w:spacing w:line="360" w:lineRule="auto"/>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工牌</w:t>
            </w:r>
          </w:p>
        </w:tc>
        <w:tc>
          <w:tcPr>
            <w:tcW w:w="2322" w:type="dxa"/>
            <w:vAlign w:val="center"/>
          </w:tcPr>
          <w:p>
            <w:pPr>
              <w:snapToGrid w:val="0"/>
              <w:spacing w:line="360" w:lineRule="auto"/>
              <w:jc w:val="center"/>
              <w:textAlignment w:val="center"/>
              <w:rPr>
                <w:rFonts w:ascii="Times New Roman" w:hAnsi="Times New Roman"/>
                <w:bCs/>
                <w:color w:val="auto"/>
                <w:kern w:val="2"/>
                <w:sz w:val="21"/>
                <w:szCs w:val="21"/>
                <w:highlight w:val="none"/>
                <w:vertAlign w:val="baseline"/>
              </w:rPr>
            </w:pPr>
            <w:r>
              <w:rPr>
                <w:rFonts w:hint="eastAsia" w:ascii="Times New Roman" w:hAnsi="Times New Roman"/>
                <w:color w:val="auto"/>
                <w:sz w:val="21"/>
                <w:szCs w:val="21"/>
                <w:highlight w:val="none"/>
                <w:lang w:val="en-US" w:eastAsia="zh-CN"/>
              </w:rPr>
              <w:t>25</w:t>
            </w:r>
            <w:r>
              <w:rPr>
                <w:rFonts w:ascii="Times New Roman" w:hAnsi="Times New Roman"/>
                <w:color w:val="auto"/>
                <w:sz w:val="21"/>
                <w:szCs w:val="21"/>
                <w:highlight w:val="none"/>
              </w:rPr>
              <w:t>个</w:t>
            </w:r>
          </w:p>
        </w:tc>
        <w:tc>
          <w:tcPr>
            <w:tcW w:w="2322" w:type="dxa"/>
            <w:vMerge w:val="continue"/>
          </w:tcPr>
          <w:p>
            <w:pPr>
              <w:pStyle w:val="17"/>
              <w:rPr>
                <w:rFonts w:ascii="Times New Roman" w:hAnsi="Times New Roman"/>
                <w:bCs/>
                <w:color w:val="auto"/>
                <w:kern w:val="2"/>
                <w:sz w:val="21"/>
                <w:szCs w:val="21"/>
                <w:highlight w:val="none"/>
                <w:vertAlign w:val="baseline"/>
              </w:rPr>
            </w:pPr>
          </w:p>
        </w:tc>
      </w:tr>
    </w:tbl>
    <w:p>
      <w:pPr>
        <w:pStyle w:val="17"/>
        <w:rPr>
          <w:rFonts w:hint="default" w:ascii="Times New Roman" w:hAnsi="Times New Roman" w:eastAsia="宋体"/>
          <w:b/>
          <w:bCs w:val="0"/>
          <w:color w:val="auto"/>
          <w:kern w:val="2"/>
          <w:sz w:val="21"/>
          <w:szCs w:val="21"/>
          <w:highlight w:val="none"/>
          <w:lang w:val="en-US" w:eastAsia="zh-CN"/>
        </w:rPr>
      </w:pPr>
      <w:r>
        <w:rPr>
          <w:rFonts w:hint="eastAsia" w:ascii="Times New Roman" w:hAnsi="Times New Roman"/>
          <w:b/>
          <w:bCs w:val="0"/>
          <w:color w:val="auto"/>
          <w:kern w:val="2"/>
          <w:sz w:val="21"/>
          <w:szCs w:val="21"/>
          <w:highlight w:val="none"/>
          <w:lang w:val="en-US" w:eastAsia="zh-CN"/>
        </w:rPr>
        <w:t>注：兼职人员服装由乙方提供。</w:t>
      </w:r>
      <w:r>
        <w:rPr>
          <w:rFonts w:hint="eastAsia"/>
          <w:b/>
          <w:bCs w:val="0"/>
          <w:color w:val="auto"/>
          <w:kern w:val="2"/>
          <w:sz w:val="21"/>
          <w:szCs w:val="21"/>
          <w:highlight w:val="none"/>
          <w:lang w:val="en-US" w:eastAsia="zh-CN"/>
        </w:rPr>
        <w:t>服务人员的工作着装费用由</w:t>
      </w:r>
      <w:r>
        <w:rPr>
          <w:rFonts w:hint="eastAsia" w:ascii="Times New Roman" w:hAnsi="Times New Roman"/>
          <w:b/>
          <w:bCs w:val="0"/>
          <w:color w:val="auto"/>
          <w:kern w:val="2"/>
          <w:sz w:val="21"/>
          <w:szCs w:val="21"/>
          <w:highlight w:val="none"/>
          <w:lang w:val="en-US" w:eastAsia="zh-CN"/>
        </w:rPr>
        <w:t>乙方承担，甲方不另行支付。</w:t>
      </w:r>
    </w:p>
    <w:p>
      <w:pPr>
        <w:pStyle w:val="17"/>
        <w:rPr>
          <w:rFonts w:ascii="Times New Roman" w:hAnsi="Times New Roman"/>
          <w:bCs/>
          <w:color w:val="auto"/>
          <w:kern w:val="2"/>
          <w:sz w:val="21"/>
          <w:szCs w:val="21"/>
          <w:highlight w:val="none"/>
        </w:rPr>
      </w:pPr>
    </w:p>
    <w:p>
      <w:pPr>
        <w:keepNext w:val="0"/>
        <w:keepLines w:val="0"/>
        <w:pageBreakBefore w:val="0"/>
        <w:widowControl w:val="0"/>
        <w:numPr>
          <w:ilvl w:val="0"/>
          <w:numId w:val="29"/>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人员的管理要求</w:t>
      </w:r>
    </w:p>
    <w:p>
      <w:pPr>
        <w:numPr>
          <w:ilvl w:val="0"/>
          <w:numId w:val="33"/>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负责计划生育管理，按照佛山市计生部门有关规定执行。</w:t>
      </w:r>
    </w:p>
    <w:p>
      <w:pPr>
        <w:numPr>
          <w:ilvl w:val="0"/>
          <w:numId w:val="33"/>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负责流动人口管理，按照佛山市有关流动人口管理办法执行。</w:t>
      </w:r>
    </w:p>
    <w:p>
      <w:pPr>
        <w:numPr>
          <w:ilvl w:val="0"/>
          <w:numId w:val="33"/>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负责劳动关系管理，遵守佛山市劳动法规用工，合理安排员工休息。</w:t>
      </w:r>
    </w:p>
    <w:p>
      <w:pPr>
        <w:numPr>
          <w:ilvl w:val="0"/>
          <w:numId w:val="33"/>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由甲方提供管理用办公室一间给乙方使用。</w:t>
      </w:r>
    </w:p>
    <w:p>
      <w:pPr>
        <w:pStyle w:val="17"/>
        <w:rPr>
          <w:color w:val="auto"/>
          <w:highlight w:val="none"/>
        </w:rPr>
      </w:pPr>
    </w:p>
    <w:p>
      <w:pPr>
        <w:keepNext w:val="0"/>
        <w:keepLines w:val="0"/>
        <w:pageBreakBefore w:val="0"/>
        <w:widowControl w:val="0"/>
        <w:numPr>
          <w:ilvl w:val="0"/>
          <w:numId w:val="29"/>
        </w:numPr>
        <w:tabs>
          <w:tab w:val="left" w:pos="540"/>
        </w:tabs>
        <w:kinsoku/>
        <w:wordWrap/>
        <w:overflowPunct/>
        <w:topLinePunct w:val="0"/>
        <w:autoSpaceDE/>
        <w:autoSpaceDN/>
        <w:bidi w:val="0"/>
        <w:adjustRightInd/>
        <w:snapToGrid w:val="0"/>
        <w:spacing w:line="360" w:lineRule="auto"/>
        <w:ind w:left="0" w:leftChars="0" w:firstLine="0" w:firstLineChars="0"/>
        <w:jc w:val="both"/>
        <w:textAlignment w:val="baseline"/>
        <w:rPr>
          <w:rFonts w:hint="eastAsia" w:ascii="Times New Roman" w:hAnsi="Times New Roman" w:cs="Times New Roman"/>
          <w:b/>
          <w:bCs/>
          <w:color w:val="auto"/>
          <w:kern w:val="2"/>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rPr>
        <w:t>管理服务工作要求及标准</w:t>
      </w:r>
    </w:p>
    <w:p>
      <w:pPr>
        <w:numPr>
          <w:ilvl w:val="0"/>
          <w:numId w:val="3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树立“业主至上，服务第一”的思想，为边检站创造一个整洁、优雅、舒适的工作和办事环境。</w:t>
      </w:r>
    </w:p>
    <w:p>
      <w:pPr>
        <w:numPr>
          <w:ilvl w:val="0"/>
          <w:numId w:val="3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为边检站提供细致、周到、真诚、规范的服务，最大限度地满足边检站的服务要求。</w:t>
      </w:r>
    </w:p>
    <w:p>
      <w:pPr>
        <w:numPr>
          <w:ilvl w:val="0"/>
          <w:numId w:val="3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主动、积极加强与边检站的联系，多途径、多渠道征询和听取意见，不断改进工作，要求有效投诉处理率达100%，投诉回复率达100%。</w:t>
      </w:r>
    </w:p>
    <w:p>
      <w:pPr>
        <w:numPr>
          <w:ilvl w:val="0"/>
          <w:numId w:val="3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进一步完善各项管理制度、各岗位工作标准，建立严格的考核办法，坚持保密原则，充分调动员工的工作积极性和主观能动性。进一步加强员工的服务意识和责任心。</w:t>
      </w:r>
    </w:p>
    <w:p>
      <w:pPr>
        <w:numPr>
          <w:ilvl w:val="0"/>
          <w:numId w:val="3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制定完善系统的培训计划，切实提高员工队伍的整体素质，特殊工种持证上岗率达100%。</w:t>
      </w:r>
    </w:p>
    <w:p>
      <w:pPr>
        <w:numPr>
          <w:ilvl w:val="0"/>
          <w:numId w:val="34"/>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规范和完善24小时值班制度，对甲方有关后勤服务要求，服务求助、投诉等各类情况的反馈时间：在正常工作日不超过1小时；非工作日期间不超2小时，并视轻重缓急及时处理，建立配套回访制度和记录。</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szCs w:val="21"/>
          <w:highlight w:val="none"/>
        </w:rPr>
      </w:pPr>
      <w:bookmarkStart w:id="110" w:name="_Toc5765"/>
      <w:r>
        <w:rPr>
          <w:rFonts w:hint="eastAsia" w:hAnsi="宋体" w:cs="宋体"/>
          <w:b/>
          <w:color w:val="auto"/>
          <w:sz w:val="21"/>
          <w:szCs w:val="21"/>
          <w:highlight w:val="none"/>
          <w:lang w:val="en-US" w:eastAsia="zh-CN"/>
        </w:rPr>
        <w:t>其他服务要求</w:t>
      </w:r>
      <w:bookmarkEnd w:id="110"/>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双方签订合同时，乙方需附项目各岗位人员工作流程、工作标准及考评登记表，并严格遵照执行，并保证所派遣劳务人员素质要求达到我方规定要求。</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乙方所派遣的服务人员与甲方不形成任何法律关系，乙方负责对派遣的工作人员进行政治和违法犯罪审查。服务期间发生的人身意外伤害与甲方无关。</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乙方及所派遣的工作人员未经南海边检站同意，不得以南海边检站的名义从事任何经济、社会、文化等活动。</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在实施本项目的物业管理服务中须有严格的上下班签到签退、日常巡查检查及每月每季考评管理等制度。日常巡查检查由保洁员负责，日常巡查检查中应善于发现处理安全隐患问题，善于维护良好环境卫生秩序。</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服务期间，水电及保洁所需纸巾、洗手液等消耗品由边检站提供，但须坚持节约使用。乙方及其服务人员不得收取变卖我站废旧物品或带出营区变卖。</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乙方及其服务人员需具有较强的保密意识，不得打听、传、说边检站工作内容，如接触到工作内容，要遵守保密规定。</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乙方及其服务人员需能够快速响应及时支援本项目管理，达到人力资源和相关物资共享效果。</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乙方需具有较强的安保服务能力，并定期组织保安人员开展应急处突训练。</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所提供的管理人员素质要求必须与投标文件表述一致，合同履行期间，不准更换管理人员；每更换一次管理人员，或月考评（考核细则见附件）被评为不满意的，甲方扣减乙方的物业管理服务费，扣减金额为月度物业管理服务费的5%。合同履行期间累计两个月乙方物业管理服务考评结果为不满意的，甲方有权解除合同。</w:t>
      </w:r>
    </w:p>
    <w:p>
      <w:pPr>
        <w:numPr>
          <w:ilvl w:val="0"/>
          <w:numId w:val="35"/>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本项目不得转包、分包。</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szCs w:val="21"/>
          <w:highlight w:val="none"/>
        </w:rPr>
      </w:pPr>
      <w:bookmarkStart w:id="111" w:name="_Toc16914"/>
      <w:r>
        <w:rPr>
          <w:rFonts w:hint="eastAsia" w:ascii="宋体" w:hAnsi="宋体" w:cs="宋体"/>
          <w:b/>
          <w:color w:val="auto"/>
          <w:szCs w:val="21"/>
          <w:highlight w:val="none"/>
        </w:rPr>
        <w:t>付款方式</w:t>
      </w:r>
      <w:bookmarkEnd w:id="111"/>
    </w:p>
    <w:p>
      <w:pPr>
        <w:numPr>
          <w:ilvl w:val="0"/>
          <w:numId w:val="36"/>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甲方将在本月支付上个月度的物业管理服务费，实际月度物业管理服务费=月度物业管理服务费-应扣减费用（如有）。</w:t>
      </w:r>
    </w:p>
    <w:p>
      <w:pPr>
        <w:numPr>
          <w:ilvl w:val="0"/>
          <w:numId w:val="36"/>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乙方应在认可甲方根据前款约定确定月度服务费金额后，及时向甲方出具等额的物业服务类发票。付款方式为转账。乙方未及时出具等额有效物业费发票，导致付款延迟的，因此造成的损失由乙方自行承担责任。</w:t>
      </w:r>
    </w:p>
    <w:p>
      <w:pPr>
        <w:numPr>
          <w:ilvl w:val="0"/>
          <w:numId w:val="36"/>
        </w:numPr>
        <w:tabs>
          <w:tab w:val="left" w:pos="540"/>
        </w:tabs>
        <w:snapToGrid w:val="0"/>
        <w:spacing w:line="360" w:lineRule="auto"/>
        <w:ind w:left="0" w:leftChars="0" w:firstLine="400" w:firstLineChars="0"/>
        <w:jc w:val="both"/>
        <w:textAlignment w:val="baseline"/>
        <w:rPr>
          <w:rFonts w:hint="eastAsia" w:ascii="Times New Roman" w:hAnsi="Times New Roman" w:cs="Times New Roman"/>
          <w:bCs/>
          <w:color w:val="auto"/>
          <w:kern w:val="2"/>
          <w:sz w:val="21"/>
          <w:szCs w:val="21"/>
          <w:highlight w:val="none"/>
          <w:lang w:val="en-US" w:eastAsia="zh-CN"/>
        </w:rPr>
      </w:pPr>
      <w:r>
        <w:rPr>
          <w:rFonts w:hint="eastAsia" w:ascii="Times New Roman" w:hAnsi="Times New Roman" w:cs="Times New Roman"/>
          <w:bCs/>
          <w:color w:val="auto"/>
          <w:kern w:val="2"/>
          <w:sz w:val="21"/>
          <w:szCs w:val="21"/>
          <w:highlight w:val="none"/>
          <w:lang w:val="en-US" w:eastAsia="zh-CN"/>
        </w:rPr>
        <w:t>乙方如因特殊情况提供的服务时间不足一个月，则按月度物业管理服务费除以30日折算每日服务费，并结合考评结果、应扣减的金额计算实际应付物业管理服务费。</w:t>
      </w:r>
    </w:p>
    <w:p>
      <w:pPr>
        <w:numPr>
          <w:ilvl w:val="0"/>
          <w:numId w:val="36"/>
        </w:numPr>
        <w:tabs>
          <w:tab w:val="left" w:pos="540"/>
        </w:tabs>
        <w:snapToGrid w:val="0"/>
        <w:spacing w:line="360" w:lineRule="auto"/>
        <w:ind w:left="0" w:leftChars="0" w:firstLine="400" w:firstLineChars="0"/>
        <w:jc w:val="both"/>
        <w:textAlignment w:val="baseline"/>
        <w:rPr>
          <w:rFonts w:hint="eastAsia" w:ascii="Times New Roman" w:hAnsi="Times New Roman" w:eastAsia="宋体" w:cs="Times New Roman"/>
          <w:bCs/>
          <w:color w:val="auto"/>
          <w:kern w:val="2"/>
          <w:sz w:val="21"/>
          <w:szCs w:val="21"/>
          <w:highlight w:val="none"/>
          <w:lang w:val="en-US" w:eastAsia="zh-CN"/>
        </w:rPr>
      </w:pPr>
      <w:r>
        <w:rPr>
          <w:rFonts w:hint="eastAsia" w:ascii="Times New Roman" w:hAnsi="Times New Roman" w:eastAsia="宋体" w:cs="Times New Roman"/>
          <w:bCs/>
          <w:color w:val="auto"/>
          <w:kern w:val="2"/>
          <w:sz w:val="21"/>
          <w:szCs w:val="21"/>
          <w:highlight w:val="none"/>
          <w:lang w:val="en-US" w:eastAsia="zh-CN"/>
        </w:rPr>
        <w:t>乙方同意甲方从应付给乙方的服务费中直接扣减乙方应承担的违约金、赔偿金以及其他应扣减的费用、款项。</w:t>
      </w:r>
    </w:p>
    <w:p>
      <w:pPr>
        <w:numPr>
          <w:ilvl w:val="0"/>
          <w:numId w:val="36"/>
        </w:numPr>
        <w:tabs>
          <w:tab w:val="left" w:pos="540"/>
        </w:tabs>
        <w:snapToGrid w:val="0"/>
        <w:spacing w:line="360" w:lineRule="auto"/>
        <w:ind w:left="0" w:leftChars="0" w:firstLine="400" w:firstLineChars="0"/>
        <w:jc w:val="both"/>
        <w:textAlignment w:val="baseline"/>
        <w:rPr>
          <w:rFonts w:hint="eastAsia" w:ascii="Times New Roman" w:hAnsi="Times New Roman" w:eastAsia="宋体" w:cs="Times New Roman"/>
          <w:bCs/>
          <w:color w:val="auto"/>
          <w:kern w:val="2"/>
          <w:sz w:val="21"/>
          <w:szCs w:val="21"/>
          <w:highlight w:val="none"/>
          <w:lang w:val="en-US" w:eastAsia="zh-CN"/>
        </w:rPr>
      </w:pPr>
      <w:r>
        <w:rPr>
          <w:rFonts w:hint="eastAsia" w:ascii="Times New Roman" w:hAnsi="Times New Roman" w:eastAsia="宋体" w:cs="Times New Roman"/>
          <w:bCs/>
          <w:color w:val="auto"/>
          <w:kern w:val="2"/>
          <w:sz w:val="21"/>
          <w:szCs w:val="21"/>
          <w:highlight w:val="none"/>
          <w:lang w:val="en-US" w:eastAsia="zh-CN"/>
        </w:rPr>
        <w:t>付款期间如因特殊情况需调整，由双方协商处理。</w:t>
      </w:r>
    </w:p>
    <w:p>
      <w:pPr>
        <w:pStyle w:val="2"/>
        <w:rPr>
          <w:rFonts w:hint="eastAsia"/>
          <w:color w:val="auto"/>
          <w:highlight w:val="none"/>
          <w:lang w:val="en-US" w:eastAsia="zh-CN"/>
        </w:rPr>
      </w:pPr>
    </w:p>
    <w:p>
      <w:pPr>
        <w:pStyle w:val="2"/>
        <w:rPr>
          <w:rFonts w:hint="eastAsia"/>
          <w:color w:val="auto"/>
          <w:highlight w:val="none"/>
          <w:lang w:val="en-US" w:eastAsia="zh-CN"/>
        </w:rPr>
      </w:pPr>
    </w:p>
    <w:p>
      <w:pPr>
        <w:numPr>
          <w:ilvl w:val="0"/>
          <w:numId w:val="26"/>
        </w:numPr>
        <w:tabs>
          <w:tab w:val="left" w:pos="630"/>
        </w:tabs>
        <w:spacing w:line="300" w:lineRule="auto"/>
        <w:ind w:firstLine="0"/>
        <w:jc w:val="left"/>
        <w:outlineLvl w:val="1"/>
        <w:rPr>
          <w:rFonts w:hint="eastAsia" w:ascii="宋体" w:hAnsi="宋体" w:cs="宋体"/>
          <w:b/>
          <w:color w:val="auto"/>
          <w:szCs w:val="21"/>
          <w:highlight w:val="none"/>
          <w:lang w:eastAsia="zh-CN"/>
        </w:rPr>
      </w:pPr>
      <w:bookmarkStart w:id="112" w:name="_Toc16334"/>
      <w:r>
        <w:rPr>
          <w:rFonts w:hint="eastAsia" w:ascii="宋体" w:hAnsi="宋体" w:cs="宋体"/>
          <w:b/>
          <w:color w:val="auto"/>
          <w:szCs w:val="21"/>
          <w:highlight w:val="none"/>
          <w:lang w:eastAsia="zh-CN"/>
        </w:rPr>
        <w:t>甲方的权利义务</w:t>
      </w:r>
      <w:bookmarkEnd w:id="112"/>
    </w:p>
    <w:p>
      <w:pPr>
        <w:numPr>
          <w:ilvl w:val="0"/>
          <w:numId w:val="37"/>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有权对</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提供的服务进行检查、监督，有权对</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不符合约定或规定的行为限期整改或予以制止。</w:t>
      </w:r>
    </w:p>
    <w:p>
      <w:pPr>
        <w:numPr>
          <w:ilvl w:val="0"/>
          <w:numId w:val="37"/>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有权对</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提供的服务进行考核，并根据考核结果作出相应的</w:t>
      </w:r>
      <w:r>
        <w:rPr>
          <w:rFonts w:hint="eastAsia" w:ascii="Times New Roman" w:hAnsi="Times New Roman" w:cs="Times New Roman"/>
          <w:color w:val="auto"/>
          <w:kern w:val="2"/>
          <w:szCs w:val="21"/>
          <w:highlight w:val="none"/>
          <w:lang w:eastAsia="zh-CN"/>
        </w:rPr>
        <w:t>处理</w:t>
      </w:r>
      <w:r>
        <w:rPr>
          <w:rFonts w:hint="eastAsia" w:ascii="Times New Roman" w:hAnsi="Times New Roman" w:cs="Times New Roman"/>
          <w:color w:val="auto"/>
          <w:kern w:val="2"/>
          <w:szCs w:val="21"/>
          <w:highlight w:val="none"/>
        </w:rPr>
        <w:t>。</w:t>
      </w:r>
    </w:p>
    <w:p>
      <w:pPr>
        <w:numPr>
          <w:ilvl w:val="0"/>
          <w:numId w:val="37"/>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有权根据上级</w:t>
      </w:r>
      <w:r>
        <w:rPr>
          <w:rFonts w:hint="eastAsia" w:ascii="Times New Roman" w:hAnsi="Times New Roman" w:cs="Times New Roman"/>
          <w:color w:val="auto"/>
          <w:kern w:val="2"/>
          <w:szCs w:val="21"/>
          <w:highlight w:val="none"/>
          <w:lang w:val="en-US" w:eastAsia="zh-CN"/>
        </w:rPr>
        <w:t>或</w:t>
      </w:r>
      <w:r>
        <w:rPr>
          <w:rFonts w:hint="eastAsia" w:ascii="Times New Roman" w:hAnsi="Times New Roman" w:cs="Times New Roman"/>
          <w:color w:val="auto"/>
          <w:kern w:val="2"/>
          <w:szCs w:val="21"/>
          <w:highlight w:val="none"/>
        </w:rPr>
        <w:t>有关部门的要求，及时向</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提出工作调整建议，督促</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建立健全工作规范和规章制度。</w:t>
      </w:r>
    </w:p>
    <w:p>
      <w:pPr>
        <w:numPr>
          <w:ilvl w:val="0"/>
          <w:numId w:val="37"/>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如果</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的行为违反合同且影响重大（包括</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及其工作人员受到通报批评或处罚、处分），或者经</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三次发函整改仍无改善的，</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有权单方解除本合同并</w:t>
      </w:r>
      <w:r>
        <w:rPr>
          <w:rFonts w:hint="eastAsia" w:ascii="Times New Roman" w:hAnsi="Times New Roman" w:cs="Times New Roman"/>
          <w:color w:val="auto"/>
          <w:kern w:val="2"/>
          <w:szCs w:val="21"/>
          <w:highlight w:val="none"/>
          <w:lang w:eastAsia="zh-CN"/>
        </w:rPr>
        <w:t>无须</w:t>
      </w:r>
      <w:r>
        <w:rPr>
          <w:rFonts w:hint="eastAsia" w:ascii="Times New Roman" w:hAnsi="Times New Roman" w:cs="Times New Roman"/>
          <w:color w:val="auto"/>
          <w:kern w:val="2"/>
          <w:szCs w:val="21"/>
          <w:highlight w:val="none"/>
        </w:rPr>
        <w:t>向</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承担任何损失赔偿责任。</w:t>
      </w:r>
    </w:p>
    <w:p>
      <w:pPr>
        <w:numPr>
          <w:ilvl w:val="0"/>
          <w:numId w:val="37"/>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招标文件中规定的其他权利义务。</w:t>
      </w:r>
    </w:p>
    <w:p>
      <w:pPr>
        <w:pStyle w:val="2"/>
        <w:rPr>
          <w:rFonts w:hint="eastAsia"/>
          <w:color w:val="auto"/>
          <w:highlight w:val="none"/>
        </w:rPr>
      </w:pPr>
    </w:p>
    <w:p>
      <w:pPr>
        <w:numPr>
          <w:ilvl w:val="0"/>
          <w:numId w:val="26"/>
        </w:numPr>
        <w:tabs>
          <w:tab w:val="left" w:pos="630"/>
        </w:tabs>
        <w:spacing w:line="300" w:lineRule="auto"/>
        <w:ind w:firstLine="0"/>
        <w:jc w:val="left"/>
        <w:outlineLvl w:val="1"/>
        <w:rPr>
          <w:rFonts w:hint="eastAsia" w:ascii="宋体" w:hAnsi="宋体" w:cs="宋体"/>
          <w:b/>
          <w:color w:val="auto"/>
          <w:szCs w:val="21"/>
          <w:highlight w:val="none"/>
        </w:rPr>
      </w:pPr>
      <w:bookmarkStart w:id="113" w:name="_Toc20514"/>
      <w:r>
        <w:rPr>
          <w:rFonts w:hint="eastAsia" w:ascii="宋体" w:hAnsi="宋体" w:cs="宋体"/>
          <w:b/>
          <w:color w:val="auto"/>
          <w:szCs w:val="21"/>
          <w:highlight w:val="none"/>
          <w:lang w:eastAsia="zh-CN"/>
        </w:rPr>
        <w:t>乙方</w:t>
      </w:r>
      <w:r>
        <w:rPr>
          <w:rFonts w:hint="eastAsia" w:ascii="宋体" w:hAnsi="宋体" w:cs="宋体"/>
          <w:b/>
          <w:color w:val="auto"/>
          <w:szCs w:val="21"/>
          <w:highlight w:val="none"/>
        </w:rPr>
        <w:t>的权利义务</w:t>
      </w:r>
      <w:bookmarkEnd w:id="113"/>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应在</w:t>
      </w:r>
      <w:r>
        <w:rPr>
          <w:rFonts w:hint="eastAsia" w:ascii="Times New Roman" w:hAnsi="Times New Roman" w:cs="Times New Roman"/>
          <w:color w:val="auto"/>
          <w:kern w:val="2"/>
          <w:szCs w:val="21"/>
          <w:highlight w:val="none"/>
          <w:lang w:val="en-US" w:eastAsia="zh-CN"/>
        </w:rPr>
        <w:t>服务期限内</w:t>
      </w:r>
      <w:r>
        <w:rPr>
          <w:rFonts w:hint="eastAsia" w:ascii="Times New Roman" w:hAnsi="Times New Roman" w:cs="Times New Roman"/>
          <w:color w:val="auto"/>
          <w:kern w:val="2"/>
          <w:szCs w:val="21"/>
          <w:highlight w:val="none"/>
        </w:rPr>
        <w:t>委派工作人员进驻服务区域提供服务。</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工作人员应遵守</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的各项规章制度，服从</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的统一管理。</w:t>
      </w:r>
    </w:p>
    <w:p>
      <w:pPr>
        <w:numPr>
          <w:ilvl w:val="0"/>
          <w:numId w:val="38"/>
        </w:numPr>
        <w:spacing w:line="300" w:lineRule="auto"/>
        <w:rPr>
          <w:rFonts w:hint="default" w:ascii="Times New Roman" w:hAnsi="Times New Roman" w:cs="Times New Roman"/>
          <w:color w:val="auto"/>
          <w:kern w:val="2"/>
          <w:szCs w:val="21"/>
          <w:highlight w:val="none"/>
          <w:lang w:val="en-US" w:eastAsia="zh-CN"/>
        </w:rPr>
      </w:pPr>
      <w:r>
        <w:rPr>
          <w:rFonts w:hint="eastAsia" w:ascii="Times New Roman" w:hAnsi="Times New Roman" w:cs="Times New Roman"/>
          <w:color w:val="auto"/>
          <w:kern w:val="2"/>
          <w:szCs w:val="21"/>
          <w:highlight w:val="none"/>
          <w:lang w:eastAsia="zh-CN"/>
        </w:rPr>
        <w:t>乙方应对其服务人员的服务及技能、操作规程、人员卫生等进行严格管理，按时支付服务人员薪酬并为其购买社保等，确保服务人员的稳定性。乙方服务人员与甲方不存在任何劳动关系、劳务关系，因此产生的争议纠纷由乙方承担。</w:t>
      </w:r>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应加强工作人员的安全培训和安全防范意识，对</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工作人员在提供服务期间造成的工伤以及人身、财产损害承担法律责任，</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不承担法律责任。</w:t>
      </w:r>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应按照</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要求配合做好</w:t>
      </w:r>
      <w:r>
        <w:rPr>
          <w:rFonts w:hint="eastAsia" w:ascii="Times New Roman" w:hAnsi="Times New Roman" w:cs="Times New Roman"/>
          <w:color w:val="auto"/>
          <w:kern w:val="2"/>
          <w:szCs w:val="21"/>
          <w:highlight w:val="none"/>
          <w:lang w:val="en-US" w:eastAsia="zh-CN"/>
        </w:rPr>
        <w:t>站内</w:t>
      </w:r>
      <w:r>
        <w:rPr>
          <w:rFonts w:hint="eastAsia" w:ascii="Times New Roman" w:hAnsi="Times New Roman" w:cs="Times New Roman"/>
          <w:color w:val="auto"/>
          <w:kern w:val="2"/>
          <w:szCs w:val="21"/>
          <w:highlight w:val="none"/>
        </w:rPr>
        <w:t>各类检查接待任务。</w:t>
      </w:r>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安排项目</w:t>
      </w:r>
      <w:r>
        <w:rPr>
          <w:rFonts w:hint="eastAsia" w:ascii="Times New Roman" w:hAnsi="Times New Roman" w:cs="Times New Roman"/>
          <w:color w:val="auto"/>
          <w:kern w:val="2"/>
          <w:szCs w:val="21"/>
          <w:highlight w:val="none"/>
          <w:lang w:eastAsia="zh-CN"/>
        </w:rPr>
        <w:t>经理</w:t>
      </w:r>
      <w:r>
        <w:rPr>
          <w:rFonts w:hint="eastAsia" w:ascii="Times New Roman" w:hAnsi="Times New Roman" w:cs="Times New Roman"/>
          <w:color w:val="auto"/>
          <w:kern w:val="2"/>
          <w:szCs w:val="21"/>
          <w:highlight w:val="none"/>
        </w:rPr>
        <w:t>作为本合同的代表，负责送达、签收和签署有关文件，并按</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要求定期汇报工作进度和工作结果。</w:t>
      </w:r>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双方的服务合同关系终止时，</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须按</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的指示移交给</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聘请的</w:t>
      </w:r>
      <w:r>
        <w:rPr>
          <w:rFonts w:hint="eastAsia" w:ascii="Times New Roman" w:hAnsi="Times New Roman" w:cs="Times New Roman"/>
          <w:color w:val="auto"/>
          <w:kern w:val="2"/>
          <w:szCs w:val="21"/>
          <w:highlight w:val="none"/>
          <w:lang w:eastAsia="zh-CN"/>
        </w:rPr>
        <w:t>物业管理</w:t>
      </w:r>
      <w:r>
        <w:rPr>
          <w:rFonts w:hint="eastAsia" w:ascii="Times New Roman" w:hAnsi="Times New Roman" w:cs="Times New Roman"/>
          <w:color w:val="auto"/>
          <w:kern w:val="2"/>
          <w:szCs w:val="21"/>
          <w:highlight w:val="none"/>
        </w:rPr>
        <w:t>服务公司，</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工作人员应按时退出。</w:t>
      </w:r>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lang w:eastAsia="zh-CN"/>
        </w:rPr>
        <w:t>服务期内，甲方</w:t>
      </w:r>
      <w:r>
        <w:rPr>
          <w:rFonts w:hint="eastAsia" w:ascii="Times New Roman" w:hAnsi="Times New Roman" w:cs="Times New Roman"/>
          <w:color w:val="auto"/>
          <w:kern w:val="2"/>
          <w:szCs w:val="21"/>
          <w:highlight w:val="none"/>
        </w:rPr>
        <w:t>有权按本项目的管理要求对</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进行不定期抽查检查，对不合格的管理服务可责令</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限期整改，</w:t>
      </w:r>
      <w:r>
        <w:rPr>
          <w:rFonts w:hint="eastAsia" w:ascii="Times New Roman" w:hAnsi="Times New Roman" w:cs="Times New Roman"/>
          <w:color w:val="auto"/>
          <w:kern w:val="2"/>
          <w:szCs w:val="21"/>
          <w:highlight w:val="none"/>
          <w:lang w:eastAsia="zh-CN"/>
        </w:rPr>
        <w:t>乙方</w:t>
      </w:r>
      <w:r>
        <w:rPr>
          <w:rFonts w:hint="eastAsia" w:ascii="Times New Roman" w:hAnsi="Times New Roman" w:cs="Times New Roman"/>
          <w:color w:val="auto"/>
          <w:kern w:val="2"/>
          <w:szCs w:val="21"/>
          <w:highlight w:val="none"/>
        </w:rPr>
        <w:t>在限期内未整改或整改未达到要求的，</w:t>
      </w:r>
      <w:r>
        <w:rPr>
          <w:rFonts w:hint="eastAsia" w:ascii="Times New Roman" w:hAnsi="Times New Roman" w:cs="Times New Roman"/>
          <w:color w:val="auto"/>
          <w:kern w:val="2"/>
          <w:szCs w:val="21"/>
          <w:highlight w:val="none"/>
          <w:lang w:eastAsia="zh-CN"/>
        </w:rPr>
        <w:t>甲方</w:t>
      </w:r>
      <w:r>
        <w:rPr>
          <w:rFonts w:hint="eastAsia" w:ascii="Times New Roman" w:hAnsi="Times New Roman" w:cs="Times New Roman"/>
          <w:color w:val="auto"/>
          <w:kern w:val="2"/>
          <w:szCs w:val="21"/>
          <w:highlight w:val="none"/>
        </w:rPr>
        <w:t>有权解除管理合同或按相关违约责任处理。</w:t>
      </w:r>
    </w:p>
    <w:p>
      <w:pPr>
        <w:numPr>
          <w:ilvl w:val="0"/>
          <w:numId w:val="38"/>
        </w:numPr>
        <w:spacing w:line="300" w:lineRule="auto"/>
        <w:rPr>
          <w:rFonts w:hint="eastAsia"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招标文件及合同附件中约定的其他义务和责任。</w:t>
      </w:r>
    </w:p>
    <w:p>
      <w:pPr>
        <w:pStyle w:val="2"/>
        <w:rPr>
          <w:rFonts w:hint="eastAsia" w:ascii="Times New Roman" w:hAnsi="Times New Roman" w:cs="Times New Roman"/>
          <w:bCs/>
          <w:color w:val="auto"/>
          <w:kern w:val="2"/>
          <w:sz w:val="21"/>
          <w:szCs w:val="21"/>
          <w:highlight w:val="none"/>
          <w:lang w:val="en-US" w:eastAsia="zh-CN"/>
        </w:rPr>
      </w:pPr>
    </w:p>
    <w:p>
      <w:pPr>
        <w:numPr>
          <w:ilvl w:val="0"/>
          <w:numId w:val="26"/>
        </w:numPr>
        <w:tabs>
          <w:tab w:val="left" w:pos="630"/>
        </w:tabs>
        <w:spacing w:line="300" w:lineRule="auto"/>
        <w:ind w:firstLine="0"/>
        <w:jc w:val="left"/>
        <w:outlineLvl w:val="1"/>
        <w:rPr>
          <w:rFonts w:ascii="宋体" w:hAnsi="宋体" w:cs="宋体"/>
          <w:b/>
          <w:color w:val="auto"/>
          <w:highlight w:val="none"/>
        </w:rPr>
      </w:pPr>
      <w:bookmarkStart w:id="114" w:name="_Toc8833"/>
      <w:bookmarkStart w:id="115" w:name="_Toc14014"/>
      <w:bookmarkStart w:id="116" w:name="_Toc26840"/>
      <w:r>
        <w:rPr>
          <w:rFonts w:hint="eastAsia" w:ascii="宋体" w:hAnsi="宋体" w:cs="宋体"/>
          <w:b/>
          <w:color w:val="auto"/>
          <w:highlight w:val="none"/>
        </w:rPr>
        <w:t>违约责任与赔偿损失</w:t>
      </w:r>
      <w:bookmarkEnd w:id="114"/>
    </w:p>
    <w:bookmarkEnd w:id="115"/>
    <w:bookmarkEnd w:id="116"/>
    <w:p>
      <w:pPr>
        <w:numPr>
          <w:ilvl w:val="0"/>
          <w:numId w:val="39"/>
        </w:numPr>
        <w:spacing w:line="300" w:lineRule="auto"/>
        <w:rPr>
          <w:rFonts w:ascii="Times New Roman" w:hAnsi="Times New Roman" w:cs="Times New Roman"/>
          <w:color w:val="auto"/>
          <w:kern w:val="2"/>
          <w:szCs w:val="21"/>
          <w:highlight w:val="none"/>
        </w:rPr>
      </w:pPr>
      <w:bookmarkStart w:id="117" w:name="_Toc32652"/>
      <w:bookmarkStart w:id="118" w:name="_Toc395"/>
      <w:r>
        <w:rPr>
          <w:rFonts w:ascii="Times New Roman" w:hAnsi="Times New Roman" w:cs="Times New Roman"/>
          <w:color w:val="auto"/>
          <w:kern w:val="2"/>
          <w:szCs w:val="21"/>
          <w:highlight w:val="none"/>
        </w:rPr>
        <w:t>乙方提供的服务不符合采购文件、投标文件或本合同规定的，甲方有权拒收</w:t>
      </w:r>
      <w:r>
        <w:rPr>
          <w:rFonts w:hint="eastAsia" w:ascii="Times New Roman" w:hAnsi="Times New Roman" w:cs="Times New Roman"/>
          <w:color w:val="auto"/>
          <w:kern w:val="2"/>
          <w:szCs w:val="21"/>
          <w:highlight w:val="none"/>
        </w:rPr>
        <w:t>并解除合同</w:t>
      </w:r>
      <w:r>
        <w:rPr>
          <w:rFonts w:ascii="Times New Roman" w:hAnsi="Times New Roman" w:cs="Times New Roman"/>
          <w:color w:val="auto"/>
          <w:kern w:val="2"/>
          <w:szCs w:val="21"/>
          <w:highlight w:val="none"/>
        </w:rPr>
        <w:t>，并且乙方须向甲方支付本</w:t>
      </w:r>
      <w:r>
        <w:rPr>
          <w:rFonts w:hint="eastAsia" w:hAnsi="宋体"/>
          <w:color w:val="auto"/>
          <w:sz w:val="21"/>
          <w:highlight w:val="none"/>
          <w:shd w:val="clear" w:color="auto" w:fill="auto"/>
          <w:lang w:eastAsia="zh-CN"/>
        </w:rPr>
        <w:t>合同总额</w:t>
      </w:r>
      <w:r>
        <w:rPr>
          <w:rFonts w:ascii="Times New Roman" w:hAnsi="Times New Roman" w:cs="Times New Roman"/>
          <w:color w:val="auto"/>
          <w:kern w:val="2"/>
          <w:szCs w:val="21"/>
          <w:highlight w:val="none"/>
        </w:rPr>
        <w:t>5%的违约金。</w:t>
      </w:r>
    </w:p>
    <w:p>
      <w:pPr>
        <w:numPr>
          <w:ilvl w:val="0"/>
          <w:numId w:val="39"/>
        </w:numPr>
        <w:spacing w:line="300" w:lineRule="auto"/>
        <w:rPr>
          <w:rFonts w:ascii="Times New Roman" w:hAnsi="Times New Roman" w:cs="Times New Roman"/>
          <w:color w:val="auto"/>
          <w:kern w:val="2"/>
          <w:szCs w:val="21"/>
          <w:highlight w:val="none"/>
        </w:rPr>
      </w:pPr>
      <w:r>
        <w:rPr>
          <w:rFonts w:ascii="Times New Roman" w:hAnsi="Times New Roman" w:cs="Times New Roman"/>
          <w:color w:val="auto"/>
          <w:kern w:val="2"/>
          <w:szCs w:val="21"/>
          <w:highlight w:val="none"/>
        </w:rPr>
        <w:t>乙方未能按本合同规定的提供服务，从逾期之日起每日按本</w:t>
      </w:r>
      <w:r>
        <w:rPr>
          <w:rFonts w:hint="eastAsia" w:hAnsi="宋体"/>
          <w:color w:val="auto"/>
          <w:sz w:val="21"/>
          <w:highlight w:val="none"/>
          <w:shd w:val="clear" w:color="auto" w:fill="auto"/>
          <w:lang w:eastAsia="zh-CN"/>
        </w:rPr>
        <w:t>合同总额</w:t>
      </w:r>
      <w:r>
        <w:rPr>
          <w:rFonts w:ascii="Times New Roman" w:hAnsi="Times New Roman" w:cs="Times New Roman"/>
          <w:color w:val="auto"/>
          <w:kern w:val="2"/>
          <w:szCs w:val="21"/>
          <w:highlight w:val="none"/>
        </w:rPr>
        <w:t>3‰的数额向甲方支付违约金；逾期15天以上（含15天）的，甲方有权</w:t>
      </w:r>
      <w:r>
        <w:rPr>
          <w:rFonts w:hint="eastAsia" w:ascii="Times New Roman" w:hAnsi="Times New Roman" w:cs="Times New Roman"/>
          <w:color w:val="auto"/>
          <w:kern w:val="2"/>
          <w:szCs w:val="21"/>
          <w:highlight w:val="none"/>
        </w:rPr>
        <w:t>解除</w:t>
      </w:r>
      <w:r>
        <w:rPr>
          <w:rFonts w:ascii="Times New Roman" w:hAnsi="Times New Roman" w:cs="Times New Roman"/>
          <w:color w:val="auto"/>
          <w:kern w:val="2"/>
          <w:szCs w:val="21"/>
          <w:highlight w:val="none"/>
        </w:rPr>
        <w:t>合同，要求乙方支付本</w:t>
      </w:r>
      <w:r>
        <w:rPr>
          <w:rFonts w:hint="eastAsia" w:hAnsi="宋体"/>
          <w:color w:val="auto"/>
          <w:sz w:val="21"/>
          <w:highlight w:val="none"/>
          <w:shd w:val="clear" w:color="auto" w:fill="auto"/>
          <w:lang w:eastAsia="zh-CN"/>
        </w:rPr>
        <w:t>合同总额</w:t>
      </w:r>
      <w:r>
        <w:rPr>
          <w:rFonts w:hint="eastAsia" w:ascii="Times New Roman" w:hAnsi="Times New Roman" w:cs="Times New Roman"/>
          <w:color w:val="auto"/>
          <w:kern w:val="2"/>
          <w:szCs w:val="21"/>
          <w:highlight w:val="none"/>
        </w:rPr>
        <w:t>的5%的</w:t>
      </w:r>
      <w:r>
        <w:rPr>
          <w:rFonts w:ascii="Times New Roman" w:hAnsi="Times New Roman" w:cs="Times New Roman"/>
          <w:color w:val="auto"/>
          <w:kern w:val="2"/>
          <w:szCs w:val="21"/>
          <w:highlight w:val="none"/>
        </w:rPr>
        <w:t>违约金，并且给甲方造成的经济损失由乙方承担赔偿责任。</w:t>
      </w:r>
    </w:p>
    <w:p>
      <w:pPr>
        <w:numPr>
          <w:ilvl w:val="0"/>
          <w:numId w:val="39"/>
        </w:numPr>
        <w:spacing w:line="300" w:lineRule="auto"/>
        <w:rPr>
          <w:rFonts w:ascii="Times New Roman" w:hAnsi="Times New Roman" w:cs="Times New Roman"/>
          <w:color w:val="auto"/>
          <w:kern w:val="2"/>
          <w:szCs w:val="21"/>
          <w:highlight w:val="none"/>
        </w:rPr>
      </w:pPr>
      <w:r>
        <w:rPr>
          <w:rFonts w:ascii="Times New Roman" w:hAnsi="Times New Roman" w:cs="Times New Roman"/>
          <w:color w:val="auto"/>
          <w:kern w:val="2"/>
          <w:szCs w:val="21"/>
          <w:highlight w:val="none"/>
        </w:rPr>
        <w:t>甲方无正当理由拒收接受服务，到期拒付服务款项的，甲方向乙方偿付本</w:t>
      </w:r>
      <w:r>
        <w:rPr>
          <w:rFonts w:hint="eastAsia" w:hAnsi="宋体"/>
          <w:color w:val="auto"/>
          <w:sz w:val="21"/>
          <w:highlight w:val="none"/>
          <w:shd w:val="clear" w:color="auto" w:fill="auto"/>
          <w:lang w:eastAsia="zh-CN"/>
        </w:rPr>
        <w:t>合同总额</w:t>
      </w:r>
      <w:r>
        <w:rPr>
          <w:rFonts w:ascii="Times New Roman" w:hAnsi="Times New Roman" w:cs="Times New Roman"/>
          <w:color w:val="auto"/>
          <w:kern w:val="2"/>
          <w:szCs w:val="21"/>
          <w:highlight w:val="none"/>
        </w:rPr>
        <w:t>5%的违约金。甲方逾期付款，则每日按本</w:t>
      </w:r>
      <w:r>
        <w:rPr>
          <w:rFonts w:hint="eastAsia" w:hAnsi="宋体"/>
          <w:color w:val="auto"/>
          <w:sz w:val="21"/>
          <w:highlight w:val="none"/>
          <w:shd w:val="clear" w:color="auto" w:fill="auto"/>
          <w:lang w:eastAsia="zh-CN"/>
        </w:rPr>
        <w:t>合同总额</w:t>
      </w:r>
      <w:r>
        <w:rPr>
          <w:rFonts w:ascii="Times New Roman" w:hAnsi="Times New Roman" w:cs="Times New Roman"/>
          <w:color w:val="auto"/>
          <w:kern w:val="2"/>
          <w:szCs w:val="21"/>
          <w:highlight w:val="none"/>
        </w:rPr>
        <w:t>的3‰向乙方偿付违约金。</w:t>
      </w:r>
    </w:p>
    <w:p>
      <w:pPr>
        <w:numPr>
          <w:ilvl w:val="0"/>
          <w:numId w:val="39"/>
        </w:numPr>
        <w:spacing w:line="300" w:lineRule="auto"/>
        <w:rPr>
          <w:rFonts w:ascii="Times New Roman" w:hAnsi="Times New Roman" w:cs="Times New Roman"/>
          <w:color w:val="auto"/>
          <w:kern w:val="2"/>
          <w:szCs w:val="21"/>
          <w:highlight w:val="none"/>
        </w:rPr>
      </w:pPr>
      <w:r>
        <w:rPr>
          <w:rFonts w:ascii="Times New Roman" w:hAnsi="Times New Roman" w:cs="Times New Roman"/>
          <w:color w:val="auto"/>
          <w:kern w:val="2"/>
          <w:szCs w:val="21"/>
          <w:highlight w:val="none"/>
        </w:rPr>
        <w:t>其它违约责任按《中华人民共和国</w:t>
      </w:r>
      <w:r>
        <w:rPr>
          <w:rFonts w:hint="eastAsia" w:ascii="Times New Roman" w:hAnsi="Times New Roman" w:cs="Times New Roman"/>
          <w:color w:val="auto"/>
          <w:kern w:val="2"/>
          <w:szCs w:val="21"/>
          <w:highlight w:val="none"/>
          <w:lang w:val="en-US" w:eastAsia="zh-CN"/>
        </w:rPr>
        <w:t>民法典（合同编）</w:t>
      </w:r>
      <w:r>
        <w:rPr>
          <w:rFonts w:ascii="Times New Roman" w:hAnsi="Times New Roman" w:cs="Times New Roman"/>
          <w:color w:val="auto"/>
          <w:kern w:val="2"/>
          <w:szCs w:val="21"/>
          <w:highlight w:val="none"/>
        </w:rPr>
        <w:t>》处理。</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highlight w:val="none"/>
        </w:rPr>
      </w:pPr>
      <w:bookmarkStart w:id="119" w:name="_Toc388"/>
      <w:r>
        <w:rPr>
          <w:rFonts w:hint="eastAsia" w:ascii="宋体" w:hAnsi="宋体" w:cs="宋体"/>
          <w:b/>
          <w:color w:val="auto"/>
          <w:highlight w:val="none"/>
        </w:rPr>
        <w:t>争议的解决</w:t>
      </w:r>
      <w:bookmarkEnd w:id="117"/>
      <w:bookmarkEnd w:id="118"/>
      <w:bookmarkEnd w:id="119"/>
    </w:p>
    <w:p>
      <w:pPr>
        <w:numPr>
          <w:ilvl w:val="0"/>
          <w:numId w:val="40"/>
        </w:numPr>
        <w:spacing w:line="300" w:lineRule="auto"/>
        <w:rPr>
          <w:rFonts w:ascii="宋体" w:hAnsi="宋体" w:cs="宋体"/>
          <w:color w:val="auto"/>
          <w:szCs w:val="21"/>
          <w:highlight w:val="none"/>
        </w:rPr>
      </w:pPr>
      <w:r>
        <w:rPr>
          <w:rFonts w:ascii="Times New Roman" w:hAnsi="Times New Roman"/>
          <w:color w:val="auto"/>
          <w:kern w:val="2"/>
          <w:szCs w:val="21"/>
          <w:highlight w:val="none"/>
        </w:rPr>
        <w:t>合同执行过程中发生的任何争议，如双方不能通过友好协商解决，甲、乙双方一致同意向甲方所在地人民法院提起诉讼</w:t>
      </w:r>
      <w:r>
        <w:rPr>
          <w:rFonts w:hint="eastAsia" w:ascii="宋体" w:hAnsi="宋体" w:cs="宋体"/>
          <w:color w:val="auto"/>
          <w:szCs w:val="21"/>
          <w:highlight w:val="none"/>
        </w:rPr>
        <w:t>。</w:t>
      </w:r>
    </w:p>
    <w:p>
      <w:pPr>
        <w:numPr>
          <w:ilvl w:val="0"/>
          <w:numId w:val="40"/>
        </w:numPr>
        <w:spacing w:line="300" w:lineRule="auto"/>
        <w:rPr>
          <w:rFonts w:ascii="宋体" w:hAnsi="宋体" w:cs="宋体"/>
          <w:color w:val="auto"/>
          <w:szCs w:val="21"/>
          <w:highlight w:val="none"/>
        </w:rPr>
      </w:pPr>
      <w:r>
        <w:rPr>
          <w:rFonts w:hint="eastAsia" w:ascii="宋体" w:hAnsi="宋体" w:cs="宋体"/>
          <w:color w:val="auto"/>
          <w:szCs w:val="21"/>
          <w:highlight w:val="none"/>
        </w:rPr>
        <w:t>在法院审理期间，除提交法院审理的事项外，合同其它事项和条款仍应继续履行。</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highlight w:val="none"/>
        </w:rPr>
      </w:pPr>
      <w:bookmarkStart w:id="120" w:name="_Toc392"/>
      <w:bookmarkStart w:id="121" w:name="_Toc20168"/>
      <w:bookmarkStart w:id="122" w:name="_Toc12522"/>
      <w:r>
        <w:rPr>
          <w:rFonts w:hint="eastAsia" w:ascii="宋体" w:hAnsi="宋体" w:cs="宋体"/>
          <w:b/>
          <w:color w:val="auto"/>
          <w:highlight w:val="none"/>
        </w:rPr>
        <w:t>不可抗力</w:t>
      </w:r>
      <w:bookmarkEnd w:id="120"/>
      <w:bookmarkEnd w:id="121"/>
      <w:bookmarkEnd w:id="122"/>
    </w:p>
    <w:p>
      <w:pPr>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highlight w:val="none"/>
        </w:rPr>
      </w:pPr>
      <w:bookmarkStart w:id="123" w:name="_Toc32362"/>
      <w:bookmarkStart w:id="124" w:name="_Toc7863"/>
      <w:bookmarkStart w:id="125" w:name="_Toc3076"/>
      <w:r>
        <w:rPr>
          <w:rFonts w:hint="eastAsia" w:ascii="宋体" w:hAnsi="宋体" w:cs="宋体"/>
          <w:b/>
          <w:color w:val="auto"/>
          <w:highlight w:val="none"/>
        </w:rPr>
        <w:t>税费</w:t>
      </w:r>
      <w:bookmarkEnd w:id="123"/>
      <w:bookmarkEnd w:id="124"/>
      <w:bookmarkEnd w:id="125"/>
    </w:p>
    <w:p>
      <w:pPr>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在中国境内、外发生的与本合同执行有关的一切税费均由乙方</w:t>
      </w:r>
      <w:r>
        <w:rPr>
          <w:rFonts w:hint="eastAsia" w:ascii="宋体" w:hAnsi="宋体" w:cs="宋体"/>
          <w:color w:val="auto"/>
          <w:szCs w:val="21"/>
          <w:highlight w:val="none"/>
          <w:lang w:val="en-US" w:eastAsia="zh-CN"/>
        </w:rPr>
        <w:t>承</w:t>
      </w:r>
      <w:r>
        <w:rPr>
          <w:rFonts w:hint="eastAsia" w:ascii="宋体" w:hAnsi="宋体" w:cs="宋体"/>
          <w:color w:val="auto"/>
          <w:szCs w:val="21"/>
          <w:highlight w:val="none"/>
        </w:rPr>
        <w:t>担。</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highlight w:val="none"/>
        </w:rPr>
      </w:pPr>
      <w:bookmarkStart w:id="126" w:name="_Toc8768"/>
      <w:bookmarkStart w:id="127" w:name="_Toc20214"/>
      <w:bookmarkStart w:id="128" w:name="_Toc26595"/>
      <w:bookmarkStart w:id="129" w:name="_Toc4932"/>
      <w:bookmarkStart w:id="130" w:name="_Toc29741"/>
      <w:r>
        <w:rPr>
          <w:rFonts w:hint="eastAsia" w:ascii="宋体" w:hAnsi="宋体" w:cs="宋体"/>
          <w:b/>
          <w:color w:val="auto"/>
          <w:highlight w:val="none"/>
        </w:rPr>
        <w:t>其它</w:t>
      </w:r>
      <w:bookmarkEnd w:id="126"/>
      <w:bookmarkEnd w:id="127"/>
      <w:bookmarkEnd w:id="128"/>
    </w:p>
    <w:p>
      <w:pPr>
        <w:numPr>
          <w:ilvl w:val="0"/>
          <w:numId w:val="41"/>
        </w:numPr>
        <w:spacing w:line="300" w:lineRule="auto"/>
        <w:rPr>
          <w:rFonts w:ascii="宋体" w:hAnsi="宋体" w:cs="宋体"/>
          <w:color w:val="auto"/>
          <w:szCs w:val="21"/>
          <w:highlight w:val="none"/>
        </w:rPr>
      </w:pPr>
      <w:r>
        <w:rPr>
          <w:rFonts w:hint="eastAsia" w:ascii="宋体" w:hAnsi="宋体" w:cs="宋体"/>
          <w:color w:val="auto"/>
          <w:szCs w:val="21"/>
          <w:highlight w:val="none"/>
        </w:rPr>
        <w:t>本合同所有附件、招标文件、投标文件、中标通知书均为合同的有效组成部分，与本合同具有同等法律效力。</w:t>
      </w:r>
    </w:p>
    <w:p>
      <w:pPr>
        <w:numPr>
          <w:ilvl w:val="0"/>
          <w:numId w:val="41"/>
        </w:numPr>
        <w:spacing w:line="300" w:lineRule="auto"/>
        <w:rPr>
          <w:rFonts w:ascii="宋体" w:hAnsi="宋体" w:cs="宋体"/>
          <w:color w:val="auto"/>
          <w:szCs w:val="21"/>
          <w:highlight w:val="none"/>
        </w:rPr>
      </w:pPr>
      <w:r>
        <w:rPr>
          <w:rFonts w:hint="eastAsia" w:ascii="宋体" w:hAnsi="宋体" w:cs="宋体"/>
          <w:color w:val="auto"/>
          <w:szCs w:val="21"/>
          <w:highlight w:val="none"/>
        </w:rPr>
        <w:t>在执行本合同的过程中，所有经双方签署确认的文件（包括会议纪要、补充协议、往来信函）即成为本合同的有效组成部分。</w:t>
      </w:r>
    </w:p>
    <w:p>
      <w:pPr>
        <w:numPr>
          <w:ilvl w:val="0"/>
          <w:numId w:val="41"/>
        </w:numPr>
        <w:spacing w:line="300" w:lineRule="auto"/>
        <w:rPr>
          <w:rFonts w:ascii="宋体" w:hAnsi="宋体" w:cs="宋体"/>
          <w:color w:val="auto"/>
          <w:szCs w:val="21"/>
          <w:highlight w:val="none"/>
        </w:rPr>
      </w:pPr>
      <w:r>
        <w:rPr>
          <w:rFonts w:hint="eastAsia" w:ascii="宋体" w:hAnsi="宋体" w:cs="宋体"/>
          <w:color w:val="auto"/>
          <w:szCs w:val="21"/>
          <w:highlight w:val="none"/>
        </w:rPr>
        <w:t>如一方地址、电话、传真号码有变更，应在变更当日内书面通知对方，否则，应承担相应责任。</w:t>
      </w:r>
    </w:p>
    <w:p>
      <w:pPr>
        <w:pStyle w:val="2"/>
        <w:rPr>
          <w:color w:val="auto"/>
          <w:highlight w:val="none"/>
        </w:rPr>
      </w:pPr>
    </w:p>
    <w:p>
      <w:pPr>
        <w:numPr>
          <w:ilvl w:val="0"/>
          <w:numId w:val="26"/>
        </w:numPr>
        <w:tabs>
          <w:tab w:val="left" w:pos="630"/>
        </w:tabs>
        <w:spacing w:line="300" w:lineRule="auto"/>
        <w:ind w:firstLine="0"/>
        <w:jc w:val="left"/>
        <w:outlineLvl w:val="1"/>
        <w:rPr>
          <w:rFonts w:ascii="宋体" w:hAnsi="宋体" w:cs="宋体"/>
          <w:b/>
          <w:color w:val="auto"/>
          <w:highlight w:val="none"/>
        </w:rPr>
      </w:pPr>
      <w:bookmarkStart w:id="131" w:name="_Toc20864"/>
      <w:r>
        <w:rPr>
          <w:rFonts w:hint="eastAsia" w:ascii="宋体" w:hAnsi="宋体" w:cs="宋体"/>
          <w:b/>
          <w:color w:val="auto"/>
          <w:highlight w:val="none"/>
        </w:rPr>
        <w:t>合同生效</w:t>
      </w:r>
      <w:bookmarkEnd w:id="129"/>
      <w:bookmarkEnd w:id="130"/>
      <w:bookmarkEnd w:id="131"/>
    </w:p>
    <w:p>
      <w:pPr>
        <w:numPr>
          <w:ilvl w:val="0"/>
          <w:numId w:val="42"/>
        </w:numPr>
        <w:spacing w:line="300" w:lineRule="auto"/>
        <w:rPr>
          <w:rFonts w:ascii="宋体" w:hAnsi="宋体" w:cs="宋体"/>
          <w:color w:val="auto"/>
          <w:szCs w:val="21"/>
          <w:highlight w:val="none"/>
        </w:rPr>
      </w:pPr>
      <w:r>
        <w:rPr>
          <w:rFonts w:hint="eastAsia" w:ascii="宋体" w:hAnsi="宋体" w:cs="宋体"/>
          <w:color w:val="auto"/>
          <w:szCs w:val="21"/>
          <w:highlight w:val="none"/>
        </w:rPr>
        <w:t>本合同在甲乙双方法人代表或其授权代表签字盖章后生效。</w:t>
      </w:r>
    </w:p>
    <w:p>
      <w:pPr>
        <w:numPr>
          <w:ilvl w:val="0"/>
          <w:numId w:val="42"/>
        </w:numPr>
        <w:spacing w:line="300" w:lineRule="auto"/>
        <w:rPr>
          <w:rFonts w:ascii="宋体" w:hAnsi="宋体" w:cs="宋体"/>
          <w:color w:val="auto"/>
          <w:szCs w:val="21"/>
          <w:highlight w:val="none"/>
        </w:rPr>
      </w:pPr>
      <w:r>
        <w:rPr>
          <w:rFonts w:hint="eastAsia" w:ascii="宋体" w:hAnsi="宋体" w:cs="宋体"/>
          <w:color w:val="auto"/>
          <w:szCs w:val="21"/>
          <w:highlight w:val="none"/>
        </w:rPr>
        <w:t>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份，其中甲方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份，采购代理机构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numPr>
          <w:ilvl w:val="0"/>
          <w:numId w:val="42"/>
        </w:numPr>
        <w:spacing w:line="300" w:lineRule="auto"/>
        <w:rPr>
          <w:rFonts w:ascii="宋体" w:hAnsi="宋体" w:cs="宋体"/>
          <w:color w:val="auto"/>
          <w:highlight w:val="none"/>
        </w:rPr>
      </w:pPr>
      <w:r>
        <w:rPr>
          <w:rFonts w:hint="eastAsia" w:ascii="宋体" w:hAnsi="宋体" w:cs="宋体"/>
          <w:bCs/>
          <w:color w:val="auto"/>
          <w:highlight w:val="none"/>
        </w:rPr>
        <w:t>本合同共计</w:t>
      </w:r>
      <w:r>
        <w:rPr>
          <w:rFonts w:hint="eastAsia" w:ascii="宋体" w:hAnsi="宋体" w:cs="宋体"/>
          <w:bCs/>
          <w:color w:val="auto"/>
          <w:highlight w:val="none"/>
          <w:u w:val="single"/>
        </w:rPr>
        <w:t xml:space="preserve">    </w:t>
      </w:r>
      <w:r>
        <w:rPr>
          <w:rFonts w:hint="eastAsia" w:ascii="宋体" w:hAnsi="宋体" w:cs="宋体"/>
          <w:bCs/>
          <w:color w:val="auto"/>
          <w:highlight w:val="none"/>
        </w:rPr>
        <w:t>页A4纸张，缺页之合同为无效合同。</w:t>
      </w:r>
    </w:p>
    <w:p>
      <w:pPr>
        <w:numPr>
          <w:ilvl w:val="0"/>
          <w:numId w:val="42"/>
        </w:numPr>
        <w:spacing w:line="300" w:lineRule="auto"/>
        <w:rPr>
          <w:rFonts w:ascii="宋体" w:hAnsi="宋体" w:cs="宋体"/>
          <w:color w:val="auto"/>
          <w:szCs w:val="21"/>
          <w:highlight w:val="none"/>
        </w:rPr>
      </w:pPr>
      <w:r>
        <w:rPr>
          <w:rFonts w:hint="eastAsia" w:ascii="宋体" w:hAnsi="宋体" w:cs="宋体"/>
          <w:bCs/>
          <w:color w:val="auto"/>
          <w:highlight w:val="none"/>
        </w:rPr>
        <w:t>本合同签约履约地点：广东省佛山市。</w:t>
      </w:r>
    </w:p>
    <w:p>
      <w:pPr>
        <w:pStyle w:val="2"/>
        <w:spacing w:line="300" w:lineRule="auto"/>
        <w:ind w:firstLine="400"/>
        <w:rPr>
          <w:color w:val="auto"/>
          <w:highlight w:val="none"/>
        </w:rPr>
      </w:pPr>
    </w:p>
    <w:tbl>
      <w:tblPr>
        <w:tblStyle w:val="40"/>
        <w:tblW w:w="939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698"/>
        <w:gridCol w:w="469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047" w:hRule="atLeast"/>
          <w:jc w:val="center"/>
        </w:trPr>
        <w:tc>
          <w:tcPr>
            <w:tcW w:w="4698" w:type="dxa"/>
          </w:tcPr>
          <w:p>
            <w:pPr>
              <w:snapToGrid w:val="0"/>
              <w:spacing w:line="300" w:lineRule="auto"/>
              <w:rPr>
                <w:rFonts w:hint="eastAsia" w:ascii="宋体" w:hAnsi="宋体" w:cs="宋体"/>
                <w:bCs/>
                <w:color w:val="auto"/>
                <w:szCs w:val="21"/>
                <w:highlight w:val="none"/>
              </w:rPr>
            </w:pPr>
            <w:r>
              <w:rPr>
                <w:rFonts w:hint="eastAsia" w:ascii="宋体" w:hAnsi="宋体" w:cs="宋体"/>
                <w:b/>
                <w:color w:val="auto"/>
                <w:szCs w:val="21"/>
                <w:highlight w:val="none"/>
              </w:rPr>
              <w:t xml:space="preserve">甲方（盖章）：  </w:t>
            </w:r>
            <w:r>
              <w:rPr>
                <w:rFonts w:hint="eastAsia" w:ascii="宋体" w:hAnsi="宋体" w:cs="宋体"/>
                <w:bCs/>
                <w:color w:val="auto"/>
                <w:szCs w:val="21"/>
                <w:highlight w:val="none"/>
              </w:rPr>
              <w:t xml:space="preserve">      </w:t>
            </w:r>
          </w:p>
          <w:p>
            <w:pPr>
              <w:snapToGrid w:val="0"/>
              <w:spacing w:line="30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pPr>
              <w:snapToGrid w:val="0"/>
              <w:spacing w:line="30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法定代表/授权代表（签字）： </w:t>
            </w:r>
          </w:p>
          <w:p>
            <w:pPr>
              <w:snapToGrid w:val="0"/>
              <w:spacing w:line="30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签定日期：       年     月    日</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地址：</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电话：</w:t>
            </w:r>
          </w:p>
          <w:p>
            <w:pPr>
              <w:tabs>
                <w:tab w:val="left" w:pos="360"/>
                <w:tab w:val="left" w:pos="3675"/>
              </w:tabs>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传真：</w:t>
            </w:r>
          </w:p>
          <w:p>
            <w:pPr>
              <w:snapToGrid w:val="0"/>
              <w:spacing w:line="300" w:lineRule="auto"/>
              <w:jc w:val="right"/>
              <w:rPr>
                <w:rFonts w:ascii="宋体" w:hAnsi="宋体" w:cs="宋体"/>
                <w:color w:val="auto"/>
                <w:szCs w:val="21"/>
                <w:highlight w:val="none"/>
              </w:rPr>
            </w:pPr>
            <w:r>
              <w:rPr>
                <w:rFonts w:hint="eastAsia" w:ascii="宋体" w:hAnsi="宋体" w:cs="宋体"/>
                <w:color w:val="auto"/>
                <w:szCs w:val="21"/>
                <w:highlight w:val="none"/>
              </w:rPr>
              <w:t>纳税人识别号：</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698" w:type="dxa"/>
          </w:tcPr>
          <w:p>
            <w:pPr>
              <w:snapToGrid w:val="0"/>
              <w:spacing w:line="300" w:lineRule="auto"/>
              <w:rPr>
                <w:rFonts w:hint="eastAsia" w:ascii="宋体" w:hAnsi="宋体" w:cs="宋体"/>
                <w:b/>
                <w:color w:val="auto"/>
                <w:szCs w:val="21"/>
                <w:highlight w:val="none"/>
              </w:rPr>
            </w:pPr>
            <w:r>
              <w:rPr>
                <w:rFonts w:hint="eastAsia" w:ascii="宋体" w:hAnsi="宋体" w:cs="宋体"/>
                <w:b/>
                <w:color w:val="auto"/>
                <w:szCs w:val="21"/>
                <w:highlight w:val="none"/>
              </w:rPr>
              <w:t>乙方（盖章）：</w:t>
            </w:r>
          </w:p>
          <w:p>
            <w:pPr>
              <w:pStyle w:val="2"/>
              <w:rPr>
                <w:color w:val="auto"/>
                <w:highlight w:val="none"/>
              </w:rPr>
            </w:pPr>
          </w:p>
          <w:p>
            <w:pPr>
              <w:snapToGrid w:val="0"/>
              <w:spacing w:line="300" w:lineRule="auto"/>
              <w:rPr>
                <w:rFonts w:hint="eastAsia" w:ascii="宋体" w:hAnsi="宋体" w:cs="宋体"/>
                <w:b/>
                <w:color w:val="auto"/>
                <w:szCs w:val="21"/>
                <w:highlight w:val="none"/>
              </w:rPr>
            </w:pPr>
            <w:r>
              <w:rPr>
                <w:rFonts w:hint="eastAsia" w:ascii="宋体" w:hAnsi="宋体" w:cs="宋体"/>
                <w:b/>
                <w:color w:val="auto"/>
                <w:szCs w:val="21"/>
                <w:highlight w:val="none"/>
              </w:rPr>
              <w:t>法定代表/授权代表（签字）：</w:t>
            </w:r>
          </w:p>
          <w:p>
            <w:pPr>
              <w:snapToGrid w:val="0"/>
              <w:spacing w:line="300" w:lineRule="auto"/>
              <w:rPr>
                <w:rFonts w:ascii="宋体" w:hAnsi="宋体" w:cs="宋体"/>
                <w:b/>
                <w:color w:val="auto"/>
                <w:szCs w:val="21"/>
                <w:highlight w:val="none"/>
              </w:rPr>
            </w:pPr>
            <w:r>
              <w:rPr>
                <w:rFonts w:hint="eastAsia" w:ascii="宋体" w:hAnsi="宋体" w:cs="宋体"/>
                <w:b/>
                <w:color w:val="auto"/>
                <w:szCs w:val="21"/>
                <w:highlight w:val="none"/>
              </w:rPr>
              <w:t xml:space="preserve"> </w:t>
            </w:r>
          </w:p>
          <w:p>
            <w:pPr>
              <w:tabs>
                <w:tab w:val="left" w:pos="360"/>
                <w:tab w:val="left" w:pos="3675"/>
              </w:tabs>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签定日期：        年     月     日</w:t>
            </w:r>
          </w:p>
          <w:p>
            <w:pPr>
              <w:tabs>
                <w:tab w:val="left" w:pos="360"/>
                <w:tab w:val="left" w:pos="3675"/>
              </w:tabs>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开户名称：</w:t>
            </w:r>
          </w:p>
          <w:p>
            <w:pPr>
              <w:tabs>
                <w:tab w:val="left" w:pos="360"/>
                <w:tab w:val="left" w:pos="3675"/>
              </w:tabs>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银行账号：</w:t>
            </w:r>
          </w:p>
          <w:p>
            <w:pPr>
              <w:tabs>
                <w:tab w:val="left" w:pos="360"/>
                <w:tab w:val="left" w:pos="3675"/>
              </w:tabs>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开 户 行：</w:t>
            </w:r>
          </w:p>
          <w:p>
            <w:pPr>
              <w:tabs>
                <w:tab w:val="left" w:pos="360"/>
                <w:tab w:val="left" w:pos="3675"/>
              </w:tabs>
              <w:snapToGrid w:val="0"/>
              <w:spacing w:line="300" w:lineRule="auto"/>
              <w:rPr>
                <w:rFonts w:ascii="宋体" w:hAnsi="宋体" w:cs="宋体"/>
                <w:color w:val="auto"/>
                <w:szCs w:val="21"/>
                <w:highlight w:val="none"/>
              </w:rPr>
            </w:pPr>
          </w:p>
          <w:p>
            <w:pPr>
              <w:tabs>
                <w:tab w:val="left" w:pos="360"/>
                <w:tab w:val="left" w:pos="3675"/>
              </w:tabs>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邮政编码：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401" w:hRule="atLeast"/>
          <w:jc w:val="center"/>
        </w:trPr>
        <w:tc>
          <w:tcPr>
            <w:tcW w:w="4698" w:type="dxa"/>
          </w:tcPr>
          <w:p>
            <w:pPr>
              <w:snapToGrid w:val="0"/>
              <w:spacing w:line="300" w:lineRule="auto"/>
              <w:rPr>
                <w:rFonts w:hint="eastAsia" w:ascii="宋体" w:hAnsi="宋体" w:cs="宋体"/>
                <w:bCs/>
                <w:color w:val="auto"/>
                <w:szCs w:val="21"/>
                <w:highlight w:val="none"/>
              </w:rPr>
            </w:pPr>
          </w:p>
          <w:p>
            <w:pPr>
              <w:snapToGrid w:val="0"/>
              <w:spacing w:line="300" w:lineRule="auto"/>
              <w:rPr>
                <w:rFonts w:hint="eastAsia" w:ascii="宋体" w:hAnsi="宋体" w:cs="宋体"/>
                <w:bCs/>
                <w:color w:val="auto"/>
                <w:szCs w:val="21"/>
                <w:highlight w:val="none"/>
              </w:rPr>
            </w:pPr>
          </w:p>
          <w:p>
            <w:pPr>
              <w:snapToGrid w:val="0"/>
              <w:spacing w:line="300" w:lineRule="auto"/>
              <w:rPr>
                <w:rFonts w:hint="eastAsia" w:ascii="宋体" w:hAnsi="宋体" w:cs="宋体"/>
                <w:bCs/>
                <w:color w:val="auto"/>
                <w:szCs w:val="21"/>
                <w:highlight w:val="none"/>
              </w:rPr>
            </w:pPr>
          </w:p>
          <w:p>
            <w:pPr>
              <w:snapToGrid w:val="0"/>
              <w:spacing w:line="300" w:lineRule="auto"/>
              <w:rPr>
                <w:rFonts w:ascii="宋体" w:hAnsi="宋体" w:cs="宋体"/>
                <w:bCs/>
                <w:color w:val="auto"/>
                <w:szCs w:val="21"/>
                <w:highlight w:val="none"/>
              </w:rPr>
            </w:pPr>
            <w:r>
              <w:rPr>
                <w:rFonts w:hint="eastAsia" w:ascii="宋体" w:hAnsi="宋体" w:cs="宋体"/>
                <w:bCs/>
                <w:color w:val="auto"/>
                <w:szCs w:val="21"/>
                <w:highlight w:val="none"/>
              </w:rPr>
              <w:t xml:space="preserve">见证单位：中达安股份有限公司                                                   </w:t>
            </w:r>
          </w:p>
          <w:p>
            <w:pPr>
              <w:snapToGrid w:val="0"/>
              <w:spacing w:line="300" w:lineRule="auto"/>
              <w:rPr>
                <w:rFonts w:ascii="宋体" w:hAnsi="宋体" w:cs="宋体"/>
                <w:bCs/>
                <w:color w:val="auto"/>
                <w:szCs w:val="21"/>
                <w:highlight w:val="none"/>
              </w:rPr>
            </w:pPr>
            <w:r>
              <w:rPr>
                <w:rFonts w:hint="eastAsia" w:ascii="宋体" w:hAnsi="宋体" w:cs="宋体"/>
                <w:bCs/>
                <w:color w:val="auto"/>
                <w:szCs w:val="21"/>
                <w:highlight w:val="none"/>
              </w:rPr>
              <w:t xml:space="preserve">盖章：                                   </w:t>
            </w:r>
          </w:p>
          <w:p>
            <w:pPr>
              <w:snapToGrid w:val="0"/>
              <w:spacing w:line="300" w:lineRule="auto"/>
              <w:rPr>
                <w:rFonts w:ascii="宋体" w:hAnsi="宋体" w:cs="宋体"/>
                <w:bCs/>
                <w:color w:val="auto"/>
                <w:szCs w:val="21"/>
                <w:highlight w:val="none"/>
              </w:rPr>
            </w:pPr>
            <w:r>
              <w:rPr>
                <w:rFonts w:hint="eastAsia" w:ascii="宋体" w:hAnsi="宋体" w:cs="宋体"/>
                <w:bCs/>
                <w:color w:val="auto"/>
                <w:szCs w:val="21"/>
                <w:highlight w:val="none"/>
              </w:rPr>
              <w:t xml:space="preserve">合同见证日期：  </w:t>
            </w:r>
          </w:p>
        </w:tc>
        <w:tc>
          <w:tcPr>
            <w:tcW w:w="4698" w:type="dxa"/>
          </w:tcPr>
          <w:p>
            <w:pPr>
              <w:tabs>
                <w:tab w:val="left" w:pos="360"/>
                <w:tab w:val="left" w:pos="3675"/>
              </w:tabs>
              <w:spacing w:line="300" w:lineRule="auto"/>
              <w:rPr>
                <w:rFonts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cs="宋体"/>
          <w:b/>
          <w:bCs/>
          <w:color w:val="auto"/>
          <w:sz w:val="21"/>
          <w:szCs w:val="21"/>
          <w:highlight w:val="none"/>
          <w:lang w:val="en-US" w:eastAsia="zh-CN"/>
        </w:rPr>
      </w:pPr>
      <w:bookmarkStart w:id="132" w:name="_Toc435115056"/>
      <w:bookmarkStart w:id="133" w:name="_Toc520811884"/>
      <w:bookmarkStart w:id="134" w:name="_Toc435514851"/>
      <w:r>
        <w:rPr>
          <w:rFonts w:hint="eastAsia" w:ascii="宋体" w:hAnsi="宋体" w:cs="宋体"/>
          <w:b/>
          <w:bCs/>
          <w:color w:val="auto"/>
          <w:sz w:val="28"/>
          <w:szCs w:val="28"/>
          <w:highlight w:val="none"/>
        </w:rPr>
        <w:br w:type="page"/>
      </w:r>
      <w:bookmarkStart w:id="135" w:name="_Toc3947"/>
      <w:r>
        <w:rPr>
          <w:rFonts w:hint="eastAsia" w:ascii="宋体" w:hAnsi="宋体" w:cs="宋体"/>
          <w:b/>
          <w:bCs/>
          <w:color w:val="auto"/>
          <w:sz w:val="21"/>
          <w:szCs w:val="21"/>
          <w:highlight w:val="none"/>
          <w:lang w:val="en-US" w:eastAsia="zh-CN"/>
        </w:rPr>
        <w:t>附件：考核细则</w:t>
      </w:r>
      <w:bookmarkEnd w:id="135"/>
      <w:r>
        <w:rPr>
          <w:rFonts w:hint="eastAsia" w:ascii="宋体" w:hAnsi="宋体" w:cs="宋体"/>
          <w:b/>
          <w:bCs/>
          <w:color w:val="auto"/>
          <w:sz w:val="21"/>
          <w:szCs w:val="21"/>
          <w:highlight w:val="non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right="0" w:firstLine="396" w:firstLineChars="200"/>
        <w:jc w:val="both"/>
        <w:textAlignment w:val="auto"/>
        <w:rPr>
          <w:rFonts w:hint="default" w:ascii="宋体" w:hAnsi="宋体" w:eastAsia="宋体" w:cs="宋体"/>
          <w:b w:val="0"/>
          <w:bCs w:val="0"/>
          <w:color w:val="auto"/>
          <w:spacing w:val="-6"/>
          <w:sz w:val="21"/>
          <w:szCs w:val="21"/>
          <w:highlight w:val="none"/>
          <w:lang w:val="en-US" w:eastAsia="zh-CN"/>
        </w:rPr>
      </w:pPr>
      <w:r>
        <w:rPr>
          <w:rFonts w:hint="eastAsia" w:ascii="宋体" w:hAnsi="宋体" w:cs="宋体"/>
          <w:b w:val="0"/>
          <w:bCs w:val="0"/>
          <w:color w:val="auto"/>
          <w:spacing w:val="-6"/>
          <w:sz w:val="21"/>
          <w:szCs w:val="21"/>
          <w:highlight w:val="none"/>
          <w:lang w:val="en-US" w:eastAsia="zh-CN"/>
        </w:rPr>
        <w:t>甲方</w:t>
      </w:r>
      <w:r>
        <w:rPr>
          <w:rFonts w:hint="eastAsia" w:ascii="宋体" w:hAnsi="宋体" w:eastAsia="宋体" w:cs="宋体"/>
          <w:b w:val="0"/>
          <w:bCs w:val="0"/>
          <w:color w:val="auto"/>
          <w:spacing w:val="-6"/>
          <w:sz w:val="21"/>
          <w:szCs w:val="21"/>
          <w:highlight w:val="none"/>
        </w:rPr>
        <w:t>每月定期组织考核小组依据</w:t>
      </w:r>
      <w:r>
        <w:rPr>
          <w:rFonts w:hint="eastAsia" w:ascii="宋体" w:hAnsi="宋体" w:cs="宋体"/>
          <w:b w:val="0"/>
          <w:bCs w:val="0"/>
          <w:color w:val="auto"/>
          <w:spacing w:val="-6"/>
          <w:sz w:val="21"/>
          <w:szCs w:val="21"/>
          <w:highlight w:val="none"/>
          <w:lang w:val="en-US" w:eastAsia="zh-CN"/>
        </w:rPr>
        <w:t>下方的</w:t>
      </w:r>
      <w:r>
        <w:rPr>
          <w:rFonts w:hint="eastAsia" w:ascii="宋体" w:hAnsi="宋体" w:eastAsia="宋体" w:cs="宋体"/>
          <w:b w:val="0"/>
          <w:bCs w:val="0"/>
          <w:color w:val="auto"/>
          <w:spacing w:val="-6"/>
          <w:sz w:val="21"/>
          <w:szCs w:val="21"/>
          <w:highlight w:val="none"/>
        </w:rPr>
        <w:t>考核</w:t>
      </w:r>
      <w:r>
        <w:rPr>
          <w:rFonts w:hint="eastAsia" w:ascii="宋体" w:hAnsi="宋体" w:cs="宋体"/>
          <w:b w:val="0"/>
          <w:bCs w:val="0"/>
          <w:color w:val="auto"/>
          <w:spacing w:val="-6"/>
          <w:sz w:val="21"/>
          <w:szCs w:val="21"/>
          <w:highlight w:val="none"/>
          <w:lang w:val="en-US" w:eastAsia="zh-CN"/>
        </w:rPr>
        <w:t>细则或</w:t>
      </w:r>
      <w:r>
        <w:rPr>
          <w:rFonts w:hint="eastAsia" w:ascii="宋体" w:hAnsi="宋体" w:eastAsia="宋体" w:cs="宋体"/>
          <w:b w:val="0"/>
          <w:bCs w:val="0"/>
          <w:color w:val="auto"/>
          <w:spacing w:val="-6"/>
          <w:sz w:val="21"/>
          <w:szCs w:val="21"/>
          <w:highlight w:val="none"/>
        </w:rPr>
        <w:t>标准对</w:t>
      </w:r>
      <w:r>
        <w:rPr>
          <w:rFonts w:hint="eastAsia" w:ascii="宋体" w:hAnsi="宋体" w:cs="宋体"/>
          <w:b w:val="0"/>
          <w:bCs w:val="0"/>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rPr>
        <w:t>服务质量进行考核，根据考核指标逐项打分</w:t>
      </w:r>
      <w:r>
        <w:rPr>
          <w:rFonts w:hint="eastAsia" w:ascii="宋体" w:hAnsi="宋体" w:cs="宋体"/>
          <w:b w:val="0"/>
          <w:bCs w:val="0"/>
          <w:color w:val="auto"/>
          <w:spacing w:val="-6"/>
          <w:sz w:val="21"/>
          <w:szCs w:val="21"/>
          <w:highlight w:val="none"/>
          <w:lang w:eastAsia="zh-CN"/>
        </w:rPr>
        <w:t>，</w:t>
      </w:r>
      <w:r>
        <w:rPr>
          <w:rFonts w:hint="eastAsia" w:ascii="宋体" w:hAnsi="宋体" w:cs="宋体"/>
          <w:b w:val="0"/>
          <w:bCs w:val="0"/>
          <w:color w:val="auto"/>
          <w:spacing w:val="-6"/>
          <w:sz w:val="21"/>
          <w:szCs w:val="21"/>
          <w:highlight w:val="none"/>
          <w:lang w:val="en-US" w:eastAsia="zh-CN"/>
        </w:rPr>
        <w:t>每份考核细则或标准考核</w:t>
      </w:r>
      <w:r>
        <w:rPr>
          <w:rFonts w:hint="eastAsia" w:ascii="宋体" w:hAnsi="宋体" w:eastAsia="宋体" w:cs="宋体"/>
          <w:b w:val="0"/>
          <w:bCs w:val="0"/>
          <w:color w:val="auto"/>
          <w:spacing w:val="-6"/>
          <w:sz w:val="21"/>
          <w:szCs w:val="21"/>
          <w:highlight w:val="none"/>
        </w:rPr>
        <w:t>总分</w:t>
      </w:r>
      <w:r>
        <w:rPr>
          <w:rFonts w:hint="eastAsia" w:ascii="宋体" w:hAnsi="宋体" w:cs="宋体"/>
          <w:b w:val="0"/>
          <w:bCs w:val="0"/>
          <w:color w:val="auto"/>
          <w:spacing w:val="-6"/>
          <w:sz w:val="21"/>
          <w:szCs w:val="21"/>
          <w:highlight w:val="none"/>
          <w:lang w:val="en-US" w:eastAsia="zh-CN"/>
        </w:rPr>
        <w:t>均</w:t>
      </w:r>
      <w:r>
        <w:rPr>
          <w:rFonts w:hint="eastAsia" w:ascii="宋体" w:hAnsi="宋体" w:eastAsia="宋体" w:cs="宋体"/>
          <w:b w:val="0"/>
          <w:bCs w:val="0"/>
          <w:color w:val="auto"/>
          <w:spacing w:val="-6"/>
          <w:sz w:val="21"/>
          <w:szCs w:val="21"/>
          <w:highlight w:val="none"/>
        </w:rPr>
        <w:t>为 100 分，最低为0分。</w:t>
      </w:r>
      <w:r>
        <w:rPr>
          <w:rFonts w:hint="eastAsia" w:ascii="宋体" w:hAnsi="宋体" w:cs="宋体"/>
          <w:b w:val="0"/>
          <w:bCs w:val="0"/>
          <w:color w:val="auto"/>
          <w:spacing w:val="-6"/>
          <w:sz w:val="21"/>
          <w:szCs w:val="21"/>
          <w:highlight w:val="none"/>
          <w:lang w:val="en-US" w:eastAsia="zh-CN"/>
        </w:rPr>
        <w:t>如出现一份考核的考核得分低于60分（不含60），则乙方该月的考评结果为不满意，甲方根据合同约定处理。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outlineLvl w:val="2"/>
        <w:rPr>
          <w:rFonts w:hint="eastAsia" w:asciiTheme="minorEastAsia" w:hAnsiTheme="minorEastAsia" w:eastAsiaTheme="minorEastAsia" w:cstheme="minorEastAsia"/>
          <w:b/>
          <w:bCs w:val="0"/>
          <w:color w:val="auto"/>
          <w:sz w:val="21"/>
          <w:szCs w:val="21"/>
          <w:highlight w:val="none"/>
          <w:lang w:val="en-US" w:eastAsia="zh-CN"/>
        </w:rPr>
      </w:pPr>
      <w:bookmarkStart w:id="136" w:name="_Toc19987"/>
      <w:r>
        <w:rPr>
          <w:rFonts w:hint="eastAsia" w:asciiTheme="minorEastAsia" w:hAnsiTheme="minorEastAsia" w:eastAsiaTheme="minorEastAsia" w:cstheme="minorEastAsia"/>
          <w:b/>
          <w:bCs w:val="0"/>
          <w:color w:val="auto"/>
          <w:sz w:val="21"/>
          <w:szCs w:val="21"/>
          <w:highlight w:val="none"/>
          <w:lang w:val="en-US" w:eastAsia="zh-CN"/>
        </w:rPr>
        <w:t>综合考核细则</w:t>
      </w:r>
      <w:bookmarkEnd w:id="136"/>
    </w:p>
    <w:tbl>
      <w:tblPr>
        <w:tblStyle w:val="40"/>
        <w:tblW w:w="10000"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41"/>
        <w:gridCol w:w="632"/>
        <w:gridCol w:w="4601"/>
        <w:gridCol w:w="2837"/>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41"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序号</w:t>
            </w:r>
          </w:p>
        </w:tc>
        <w:tc>
          <w:tcPr>
            <w:tcW w:w="4601"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考核内容</w:t>
            </w:r>
          </w:p>
        </w:tc>
        <w:tc>
          <w:tcPr>
            <w:tcW w:w="2837"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扣分标准</w:t>
            </w:r>
          </w:p>
        </w:tc>
        <w:tc>
          <w:tcPr>
            <w:tcW w:w="889"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考</w:t>
            </w:r>
            <w:r>
              <w:rPr>
                <w:rFonts w:hint="eastAsia" w:asciiTheme="minorEastAsia" w:hAnsiTheme="minorEastAsia" w:eastAsiaTheme="minorEastAsia" w:cstheme="minorEastAsia"/>
                <w:color w:val="auto"/>
                <w:sz w:val="21"/>
                <w:szCs w:val="21"/>
                <w:highlight w:val="none"/>
              </w:rPr>
              <w:t>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41"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举止</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不穿工服、着装不整、不佩戴工作证、举止不文明</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出勤</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迟到、早退</w:t>
            </w:r>
          </w:p>
        </w:tc>
        <w:tc>
          <w:tcPr>
            <w:tcW w:w="2837" w:type="dxa"/>
            <w:vMerge w:val="restart"/>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事假未提前报备</w:t>
            </w:r>
          </w:p>
        </w:tc>
        <w:tc>
          <w:tcPr>
            <w:tcW w:w="2837" w:type="dxa"/>
            <w:vMerge w:val="continue"/>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不请假无故旷工</w:t>
            </w:r>
          </w:p>
        </w:tc>
        <w:tc>
          <w:tcPr>
            <w:tcW w:w="2837" w:type="dxa"/>
            <w:vMerge w:val="continue"/>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工作态度</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不服从领导，不听从分配</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第一次扣2分，第二次扣5分，第三次辞退</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上班时边吃边工作</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每发现一次扣3分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服务态度不好，言行举止欠文明</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每发现一次扣3分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上岗</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上岗时看书、报、电视，收听广播、玩手机游戏，等做与工作无关的事</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上班时间脱岗、窜岗、打闹</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未经允许，擅自做兼职者</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首次扣10分，第二次辞退</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上班时间工作任务未完成私自拾破烂者</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因使用不当，造成公物及设施设备损坏、丢失者</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照价赔偿并扣3分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不按合同定岗、定人</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缺1人次扣5分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故意损坏公物及设施设备者</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除照价赔偿外另扣5分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制度、</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措施、</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如违反此表未明确的其它采购人相关规章制度</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制度、措施、方案不健全</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每项扣1分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严禁外来人员留宿，禁止外来人员到采购人提供的办公住宿娱乐及会客，发现黄、赌、毒等行为</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视情节轻重每人扣2—5分，严重者移送公安机关并开除处理，扣5分以上。</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4"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保洁工作效果（外保）</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裸露垃圾、垃圾死角、明显积尘积垢、蚊蝇孳生地、“脏乱差”顽疾</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积水、积土、杂物、乱倒垃圾和人畜粪 </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路面、路沿、人行道、雨水口、树坑墙根、废物箱等不干净</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果皮箱有异味，表面不清洁</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水池不干净、有漂浮物</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垃圾日产日清，不清理     </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地面有纸屑、烟头、石块等杂物</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保洁工作效果（内保）</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楼道、地面每天清扫一次，有纸屑、烟头等杂物</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墙面有乱贴乱画 </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公共设施设备经常擦拭，保持无蛛网、灰尘</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4"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垃圾桶每周清洁不少于一次，内无异味，表面清洁，周边无散落垃圾</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楼道口、地下室等地方保持清洁，不得随意占用和堆放杂物    </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楼道内玻璃每月擦拭一次，有灰尘</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每发现一处扣1分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保安工作效果</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值班及巡逻记录不全或不规范，发现巡逻保安与站岗保安聊天</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每发现一处扣2分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门岗不按规定进行出入检查、登记</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严格执行安防措施，防偷盗、防破坏、防火灾、防治安灾害等，严格安全巡查制度；严格遵守闭路电视监控室各项管理规定及节假日值班制度，没有采购人管理部门批准,任何人不得查看监控录像资料；发现安全隐患要立刻逐级报告，报告主管部门。  </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发现问题不及时报告、私自查看录像扣2—5分。违反值班管理各项规定扣5分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45"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做好重大活动、会议、检查的接待保卫工作，建立各级安全警戒方案，确保采购人安全稳定，圆满完成采购人交代的其他任务。</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达不到安全要求，无工作方案每次扣2分；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因失职或管理不到位出现办公用品、公共物品等失窃情况</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除照价赔偿外酌情扣5-10分。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2"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检查洗手间水、电情况或发现情况不报的</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1" w:type="dxa"/>
            <w:vMerge w:val="restart"/>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奖则</w:t>
            </w: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抢险救灾、有效发现并扑灭火警</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加15分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47"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主动发现抓获小偷等</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每次加15分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041" w:type="dxa"/>
            <w:vMerge w:val="continue"/>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632" w:type="dxa"/>
            <w:shd w:val="clear" w:color="auto" w:fill="FFFFFF"/>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01"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提出合理化建议，被采购人采纳后给采购人带来社会效益和经济效益</w:t>
            </w:r>
          </w:p>
        </w:tc>
        <w:tc>
          <w:tcPr>
            <w:tcW w:w="2837" w:type="dxa"/>
            <w:shd w:val="clear" w:color="auto" w:fill="FFFFFF"/>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每次奖25分</w:t>
            </w:r>
          </w:p>
        </w:tc>
        <w:tc>
          <w:tcPr>
            <w:tcW w:w="889" w:type="dxa"/>
            <w:shd w:val="clear" w:color="auto" w:fill="FFFFFF"/>
            <w:noWrap w:val="0"/>
            <w:vAlign w:val="center"/>
          </w:tcPr>
          <w:p>
            <w:pPr>
              <w:rPr>
                <w:rFonts w:hint="eastAsia" w:asciiTheme="minorEastAsia" w:hAnsiTheme="minorEastAsia" w:eastAsiaTheme="minorEastAsia" w:cstheme="minorEastAsia"/>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outlineLvl w:val="2"/>
        <w:rPr>
          <w:rFonts w:hint="eastAsia" w:asciiTheme="minorEastAsia" w:hAnsiTheme="minorEastAsia" w:eastAsiaTheme="minorEastAsia" w:cstheme="minorEastAsia"/>
          <w:b/>
          <w:bCs w:val="0"/>
          <w:color w:val="auto"/>
          <w:sz w:val="21"/>
          <w:szCs w:val="21"/>
          <w:highlight w:val="none"/>
          <w:lang w:val="en-US" w:eastAsia="zh-CN"/>
        </w:rPr>
      </w:pPr>
      <w:bookmarkStart w:id="137" w:name="_Toc11987"/>
      <w:r>
        <w:rPr>
          <w:rFonts w:hint="eastAsia" w:asciiTheme="minorEastAsia" w:hAnsiTheme="minorEastAsia" w:eastAsiaTheme="minorEastAsia" w:cstheme="minorEastAsia"/>
          <w:b/>
          <w:bCs w:val="0"/>
          <w:color w:val="auto"/>
          <w:sz w:val="21"/>
          <w:szCs w:val="21"/>
          <w:highlight w:val="none"/>
          <w:lang w:val="en-US" w:eastAsia="zh-CN"/>
        </w:rPr>
        <w:t>饭堂考核标准</w:t>
      </w:r>
      <w:bookmarkEnd w:id="137"/>
    </w:p>
    <w:tbl>
      <w:tblPr>
        <w:tblStyle w:val="40"/>
        <w:tblW w:w="10034" w:type="dxa"/>
        <w:tblInd w:w="-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47"/>
        <w:gridCol w:w="5329"/>
        <w:gridCol w:w="3207"/>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034" w:type="dxa"/>
            <w:gridSpan w:val="4"/>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一、基础管理(25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532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考核内容</w:t>
            </w:r>
          </w:p>
        </w:tc>
        <w:tc>
          <w:tcPr>
            <w:tcW w:w="320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扣分标准</w:t>
            </w:r>
          </w:p>
        </w:tc>
        <w:tc>
          <w:tcPr>
            <w:tcW w:w="751"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考</w:t>
            </w:r>
            <w:r>
              <w:rPr>
                <w:rFonts w:hint="eastAsia" w:asciiTheme="minorEastAsia" w:hAnsiTheme="minorEastAsia" w:eastAsiaTheme="minorEastAsia" w:cstheme="minorEastAsia"/>
                <w:color w:val="auto"/>
                <w:sz w:val="21"/>
                <w:szCs w:val="21"/>
                <w:highlight w:val="none"/>
              </w:rPr>
              <w:t>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w:t>
            </w:r>
          </w:p>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(1)必须按照投标时所承诺的配足餐饮管理、服务人员，人员选拔符合合同、招投标文件要求，各项管理服务要求均符合合同、招投标文件要求。</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未按投标时承诺的配足餐饮管理、服务人员，扣 2 分；人员选拔不符合合同、招投标文件要求，发现一次扣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(2)工作人员必须持有效健康证，厨师必须持厨师证；凡患有（5 病不得从事该行业）疮疖、化脓性创伤（特别是手指被切破） 以及可能引起食物中毒的肠道疾病或健康带菌者，一律不准从事入口食品的加工工作</w:t>
            </w:r>
            <w:r>
              <w:rPr>
                <w:rFonts w:hint="eastAsia" w:asciiTheme="minorEastAsia" w:hAnsiTheme="minorEastAsia" w:eastAsiaTheme="minorEastAsia" w:cstheme="minorEastAsia"/>
                <w:color w:val="auto"/>
                <w:sz w:val="21"/>
                <w:szCs w:val="21"/>
                <w:highlight w:val="none"/>
                <w:lang w:eastAsia="zh-CN"/>
              </w:rPr>
              <w:t>。</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不按要求每发生一次扣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(3)管理人员姓名、照片、职务公示，员工健康证（原件），规章制度、应急预案上墙。</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没规章制度扣 1 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没应急预案扣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(4)服务人员佩戴标志，仪容仪表规范， 言行举止规范，热情大方、服务主动、细致周到，要文明礼貌。公务接待桌餐服务人员形象好，讲普通话，化淡妆。</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未接要求做的，发现一次扣 0.5分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(5)严禁脱岗、睡岗、窜岗、酒后上岗、在工作时间吸烟、嬉闹、聊天，做与工作无关的事情。</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分。因</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违反禁令而导致发生安全问题，视情节严重程度扣 5-10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(6)上班必须按规定着工作服，戴厨师帽、口罩，佩戴工号牌。上班时间不准戴手镯（链）戒指、耳环等饰物， 不留长指甲，不涂指甲油。女职工不准长发披肩，男职工不准留长发和胡须。</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(7)不能当着客人的面做不雅观的动作（如：抓痒，抠鼻子，挖耳朵，梳头发，剔牙，打呵欠等），打喷涕应适当遮掩。</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(8)工作人员勤洗澡、勤换衣、勤洗头发，不能有头屑、身体不能有异味。工作服不得有油渍、皱痕和异味。</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(9)严禁穿工作服上洗手间，工作期间大小便后手要洗净、擦干；严禁穿工作服离开工作场所。</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(10)上班时间不准吃东西，更不准私拿、吃、用餐厅、后厨的食物和物品， 严禁偷盗财物。</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上班时间吃东西者，发现一次扣 0.5 分，如发现有私拿、 吃、用餐厅、后厨的食物，偷盗、占用公家财物，按照价格的 10 倍赔偿，并视情节严重程度扣1-10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(11)严格执行就餐人员刷卡制度，不得漏刷。</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(12)严格按要求对各类人员进行定期安全、业务等培训。安全培训每月不少于一次，培训有记录。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未培训一次扣 1 分，没有培训记录扣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(13)不得故意损坏公共财产，拾到的物品不得私分、占有。</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如发现故意损坏公共财产、私分、占有者，按赃物价格的 10 倍赔偿，并视情节严重程度扣1-10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(14)工作操作时，对餐饮工具、设施设备要轻拿轻放，挪动物品，及时归还归位，爱护公物。</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分；损坏物品照价赔偿，并视情节严重程度扣 1-5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(15)严格遵守采购人保密规定。</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(16)凡辞退的员工，不得在采购人区域有冲突、纠缠、扯皮现象发生</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(17)严格执行采购人的各项管理规范、规定、制度。</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(18)确保厨师人员稳定，招聘须经采购人考核认可，中标人培训合格后方能上岗</w:t>
            </w:r>
            <w:r>
              <w:rPr>
                <w:rFonts w:hint="eastAsia" w:asciiTheme="minorEastAsia" w:hAnsiTheme="minorEastAsia" w:eastAsiaTheme="minorEastAsia" w:cstheme="minorEastAsia"/>
                <w:color w:val="auto"/>
                <w:sz w:val="21"/>
                <w:szCs w:val="21"/>
                <w:highlight w:val="none"/>
                <w:lang w:eastAsia="zh-CN"/>
              </w:rPr>
              <w:t>。</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人员流动太大未按要求补充扣</w:t>
            </w: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分；未认可、未考核培训上岗</w:t>
            </w: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(19)主管及以上人员流动须报请采购人同意。</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未经采购人同意一次扣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(20)员工在规定时间（开餐结束后）就餐，不得提前就餐。</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5"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制度</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w:t>
            </w: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(1)按照招标文件要求，建立健全餐饮管理各项管理制度、各岗位工作标准， 并制定具体的落实措施和考核办法，并报采购人监管部门备案备查。</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(2)严格控制成本，有具体控制措施及办法（有文字记录），不得出现浪费现象。</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(3)管理人员每日巡视检查各工作区域和岗位，及时处理发现问题并整改， 有记录。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无记录发现一次扣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(4)凡是对餐饮服务的有效投诉，必须及时受理、整改。</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如有违反发现一次视情节严重</w:t>
            </w: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程度扣 1-3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(5)各岗位工作记录准确、详实、规范，不得缺项，不得流于形式，可追溯。</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(6)不得私自提供有偿服务。</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如有违反发现一次视情节严重</w:t>
            </w: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程度扣 1-3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(7)健全各类标识标牌，格式应统一、规范，挂（摆放）应安全、正规、醒目，无涂改、无褪色。</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重大事件应及时上报相关监管部门，不得隐瞒，延迟上报。</w:t>
            </w:r>
          </w:p>
        </w:tc>
        <w:tc>
          <w:tcPr>
            <w:tcW w:w="3207"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如有违反发现一次扣1 分。 因隐瞒、延报而导致的各类问题，</w:t>
            </w:r>
          </w:p>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视情节严重程度扣 1-10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(9)餐厅闭餐后禁止外人进出，后厨非工作人员不得随意进出，有外来人员登记表。</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2 分，无</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登记表扣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(10)检查中要求整改的事项，应立即整改。同样整改问题一个月内不得出现 2次以上</w:t>
            </w:r>
            <w:r>
              <w:rPr>
                <w:rFonts w:hint="eastAsia" w:asciiTheme="minorEastAsia" w:hAnsiTheme="minorEastAsia" w:eastAsiaTheme="minorEastAsia" w:cstheme="minorEastAsia"/>
                <w:color w:val="auto"/>
                <w:sz w:val="21"/>
                <w:szCs w:val="21"/>
                <w:highlight w:val="none"/>
                <w:lang w:eastAsia="zh-CN"/>
              </w:rPr>
              <w:t>。</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提出问题未及时整改扣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(11)严格执行晨检制度（有记录）。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务</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量</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(1)按时、按规定、按要及时不断档。标准供应饭菜，中途补充</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不按要求扣 2 分，未按时供应饭菜扣 1-5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(2)餐前桌面纸品、牙签摆放整齐、规范、充足，不得断档。</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未及时补充物品每发现一次扣1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(3)凡接触食品的员工，加工操作前必须用皂液洗手，并用流水冲净。</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(4)服务过程中，应注意避免作业工具保持干净整洁，在指定位置摆放整齐。</w:t>
            </w: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工具发出声音</w:t>
            </w:r>
            <w:r>
              <w:rPr>
                <w:rFonts w:hint="eastAsia" w:asciiTheme="minorEastAsia" w:hAnsiTheme="minorEastAsia" w:eastAsiaTheme="minorEastAsia" w:cstheme="minorEastAsia"/>
                <w:color w:val="auto"/>
                <w:sz w:val="21"/>
                <w:szCs w:val="21"/>
                <w:highlight w:val="none"/>
                <w:lang w:eastAsia="zh-CN"/>
              </w:rPr>
              <w:t>。</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(5)每月发放餐饮管理服务工作征求意见单，对合理的建议及时整改，满意率达 90%以上，非满意事项不得连续出现 2 次以上（含 2 次）。</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按考核办法执行</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(6)与就餐人员不得有谩骂、肢体冲突行为</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034" w:type="dxa"/>
            <w:gridSpan w:val="4"/>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二、安全管理(30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532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考核内容</w:t>
            </w:r>
          </w:p>
        </w:tc>
        <w:tc>
          <w:tcPr>
            <w:tcW w:w="320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扣分标准</w:t>
            </w:r>
          </w:p>
        </w:tc>
        <w:tc>
          <w:tcPr>
            <w:tcW w:w="751"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考</w:t>
            </w:r>
            <w:r>
              <w:rPr>
                <w:rFonts w:hint="eastAsia" w:asciiTheme="minorEastAsia" w:hAnsiTheme="minorEastAsia" w:eastAsiaTheme="minorEastAsia" w:cstheme="minorEastAsia"/>
                <w:color w:val="auto"/>
                <w:sz w:val="21"/>
                <w:szCs w:val="21"/>
                <w:highlight w:val="none"/>
              </w:rPr>
              <w:t>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食</w:t>
            </w:r>
            <w:r>
              <w:rPr>
                <w:rFonts w:hint="eastAsia" w:asciiTheme="minorEastAsia" w:hAnsiTheme="minorEastAsia" w:eastAsiaTheme="minorEastAsia" w:cstheme="minorEastAsia"/>
                <w:color w:val="auto"/>
                <w:sz w:val="21"/>
                <w:szCs w:val="21"/>
                <w:highlight w:val="none"/>
              </w:rPr>
              <w:t>品</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(1)严格执行卫生、食品管理制度，严格执行食品加工等各项操作规程</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(2)冷货制品保管禁止带有色塑料袋存入。豆制品入冷冻库保存，不得超过24 小时。</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(3)使用后剩余的鲜肉入冷库，应摊开码放。鲜鱼马上初加工，清洗干净后放专用容器，送切配间加工或冷库保存。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(4)做到勤进勤出，先进先出，定期清仓检查，防止食品过期、变质、霉变、生虫，及时清理不符合卫生要求的食品。储存、加工生熟分开。</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(5)执行“生与熟隔离；荤与素隔离、成品与半成品隔离；食物与杂物隔离”的“四隔离”制度。</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(6)加工生熟食品使用的刀、板、墩、炊具、抹布等工具及筐、盆、盘、桶、碗等容器要严格分开，并定期进行消毒，有记录。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未按要求使用发现一次扣1 分； 未按要求进行消毒发现一次扣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(7)进入凉菜间人员，必须二次更衣。</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(8)加工生海产品必须严防生海产品及其加工刀具、容器等污染其他食品和器具。</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凉拌菜必须在专用冷拼间操作加工。</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(10)对成品食品的存放， 按规定摆放整齐、不得有污染。</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(11)厨房菜墩要随用随刮，并杀菌消毒。不使用时必须彻底清洁，放于指定位置。</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(12)严格执行蔬菜先洗后切的食品卫生管理制度。</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(13)加工食品的原料必须新鲜，蔬菜不得有枯叶、霉斑、 虫蛀、腐烂、如卫生不合格，要退回粗加工清洗，禁止使用变质原料。如有违反发现一次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 1 分。</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因违反禁令而导致的食品安全问题，视情节严重程度扣 1-10 分或按相关法律法规另行处理。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(14)饭菜中不得出现头发、蚊虫、鼠粪、干枯草、钢丝球丝等异常杂物。</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(15)从后厨传入餐厅的食品需用保鲜膜、餐盖密封。</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(16)接触已清洗消毒的餐具按要求佩戴手套、口罩。</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(17)接触成品食品时按要求佩戴手套、口罩。</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(18)严禁未达标食品和腐烂变质菜品上桌，不得发生如何食品中毒和腹泻事件。</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如有发生，双方合同终止并追究法律责任。</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(19)每餐必须作好留样记录：留样时期、食品名称，便于检查；每样食品必须按要求留足 1009，留样食晶必须保留 48 小时，时间到满后方可倒掉。</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(20)生菜要鲜，保证卫生、无菌。</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(21)热菜要熟，要烂、酥、软、滑、嫩、清、鲜、脆。</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如未达标发现一次扣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(22)菜品不得有异味腥、膻、臭味等，每月至少创新 1 道新菜品。</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发现菜品有异味扣 1 分，每月</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未创新菜品扣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(23)掌握好咸淡：菜品口味要温性、中性、要平和平淡，要体现菜品色、香、味。</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如口感不适发现扣除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(24)严格遵守国家质检总局规定，不得使用违禁食品。</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设施</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(1)各部门管理人员必须每日对餐饮管理的设备、设施进行综合巡查，对发现的问题的设备、设施进行综合巡查，对发现的问题及时处理并上报，且记录完善。</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发现问题未及时上报扣 1 分，记录不完善扣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(2)设施设备使用功能完好、附件齐全， 操作时保护好成品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对设备设施定期维护保</w:t>
            </w:r>
            <w:r>
              <w:rPr>
                <w:rFonts w:hint="eastAsia" w:asciiTheme="minorEastAsia" w:hAnsiTheme="minorEastAsia" w:eastAsiaTheme="minorEastAsia" w:cstheme="minorEastAsia"/>
                <w:color w:val="auto"/>
                <w:sz w:val="21"/>
                <w:szCs w:val="21"/>
                <w:highlight w:val="none"/>
                <w:lang w:eastAsia="zh-CN"/>
              </w:rPr>
              <w:t>。</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未保护好成品发现一次扣 0.5</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分，如发现记录不全扣 1 分，未定期保养扣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各项工作严格按安全操作规程执行。严格遵守用电、用气操作规程、安全规程，杜绝违章操作；定期检查消防、电气、燃气设备有无漏电、漏水、绝缘老化、管线裸露等现象， 发现及时处理， 消除安全事故随患。</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如不按要求发现一次扣 2 分， 因操作不当导致的事故，视情节和后果轻重扣 1-10 分或按相关法律法规另行处理。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(4)加强电器、天然气管线各类设备维护管理，保障性能完好。</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如发现记录不全扣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(5)重大节假日前、冬季、雨季、汛前必须进行安全专项检查，无重大安全、火灾、设备管理安全事故。</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节日前未安全检查扣2 分； 发生事故另行处理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(6)针对性建立各种公共突发事件处理机制和预案，包括组织机构、人员和具体措施一日发生突发事件即能立即实施。</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未建立应急预案扣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气</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(1)食物、餐具清洗后及时关水；食品加工完成后及时关闭燃气；各操作间工作完毕应及时关灯、关门。</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未及时关闭发现一次扣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(2)后厨每日用电、用气工作完毕有检查并有检查记录。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如没做检查记录发现一次扣 1分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(3)灯具、空调、电视等设备设施完好有效，使用按规定时间执行。</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未按时间执行扣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10034" w:type="dxa"/>
            <w:gridSpan w:val="4"/>
            <w:shd w:val="clear" w:color="auto" w:fill="auto"/>
            <w:noWrap w:val="0"/>
            <w:vAlign w:val="top"/>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三、卫生管理(40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532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考核内容</w:t>
            </w:r>
          </w:p>
        </w:tc>
        <w:tc>
          <w:tcPr>
            <w:tcW w:w="320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扣分标准</w:t>
            </w:r>
          </w:p>
        </w:tc>
        <w:tc>
          <w:tcPr>
            <w:tcW w:w="751"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考</w:t>
            </w:r>
            <w:r>
              <w:rPr>
                <w:rFonts w:hint="eastAsia" w:asciiTheme="minorEastAsia" w:hAnsiTheme="minorEastAsia" w:eastAsiaTheme="minorEastAsia" w:cstheme="minorEastAsia"/>
                <w:color w:val="auto"/>
                <w:sz w:val="21"/>
                <w:szCs w:val="21"/>
                <w:highlight w:val="none"/>
              </w:rPr>
              <w:t>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餐厅\包间\服务</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(1)目视地面清洁干净，无杂物、水渍、尘渍、痰渍、胶渍，地面光亮，干净完好，无垃圾、无污迹。</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发现有污渍扣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(2)墙面保持光亮无尘、无污渍、无灰尘，无明显污染，无蜘蛛网。</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(3)玻璃门窗无污渍、无灰尘、无水渍、无手印，光洁明亮。</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(4)天花板、风口、悬挂装饰、悬挂牌等无蜘蛛网、无污渍、元灰尘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(5)各种家具、椅子、桌子摆放整齐、光洁，无灰尘、无污渍。</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(6)餐桌、餐椅：完好无损、物品摆放整齐有序、规范，无污迹、无破损，备用物品一应俱全、无隔餐遗留的垃圾等。</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(7)餐具、玻璃器皿等清洁、卫生、明亮、无缺口、无油渍、无残渣、无水迹。</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(8)餐厅工作台，随时保持清洁，不得留置任何食品，以防止细菌传入。</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发现工作餐台未保持清洁扣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(9)布件：清洁完好、熨烫平整，无污迹、光亮如新，摆放规范，不得交叉使用</w:t>
            </w:r>
            <w:r>
              <w:rPr>
                <w:rFonts w:hint="eastAsia" w:asciiTheme="minorEastAsia" w:hAnsiTheme="minorEastAsia" w:eastAsiaTheme="minorEastAsia" w:cstheme="minorEastAsia"/>
                <w:color w:val="auto"/>
                <w:sz w:val="21"/>
                <w:szCs w:val="21"/>
                <w:highlight w:val="none"/>
                <w:lang w:eastAsia="zh-CN"/>
              </w:rPr>
              <w:t>。</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(10)服务间内设施归类合理、规范，摆放有序，整洁干净。</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(11)服务用具：无油腻、无污迹，使用灵活、清洁完好，摆放规范。转台：清洁、无脏痕、无油腻、转动灵活；</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(12)门顶、面、框、门把手无尘土、无污迹。</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发现有污迹扣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(13)窗沟、窗道、窗台、窗帘、台布、桌套、椅套干净无灰尘、无皱褶、无破损；玻璃光洁明亮，无污迹，无灰尘。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(14)洁具干净、无污迹、无灰尘。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未按要隶做发现一次扣0.5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(15)消防设施、标识牌等公共设施干净、无积尘。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(16)垃圾桶按指定位置摆放，桶身表面干净无污渍、痰渍、异味，烟灰缸内烟头不应超过 3 个，垃圾不应超过 2/3，内胆应定期清洁、消毒。</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如发现垃圾超过 2/3 未倒扣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(17)清洁间中各种设备、物品表面干净、无水迹、无污渍，清洁工具摆放整齐有序、规范，室内无异味</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后</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厨</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(1)厨房各操作间地面无污渍、无杂物、无水渍；墙面保持光亮无尘、无污渍、无灰尘。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发现有污渍扣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(2)各操作间无老鼠、苍蝇、蟑螂；有防老鼠、防苍蝇、防蟑螂等措施，无卫生死角。</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无防范措施扣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(3)各操作间工作完毕，不得摆放拖把、墩布；清洗池无污迹，水龙头光洁。</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无防范措施扣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(4)各操作间门顶、面、框、门把手无尘土、无污迹。</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(5)玻璃门窗无污渍、无灰尘、无水渍，无手印，光洁明亮。</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(6)设施设备归类合理、规范，摆放有序，表面无水迹，无污渍、无刮痕，里面无异味、无污垢、无残留物、干净整洁、物品分类规范、清楚。</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未按要求发现一次扣 0.5分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(7)服务用具：无油腻、无污迹、使用灵活、清洁完好，摆放整齐、规范。</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未规范摆放扪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(8)布件：清洁完好、熨烫平整、无污迹、光亮如新，摆放规范，不得交叉使用</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未规范摆放及交叉使用扣0.5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(9)工作台面干净，无污渍、无杂物、每日消毒，物品摆放整齐有序、规范， 标示清楚。</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台面未消毒扣 1 分，用扣0.5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(10)厨房各操作间工作完毕，垃圾及时清理不得留存；垃圾桶桶身表面干净无污渍、痰渍、异味，内胆应定期清洁、消毒。</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(11)粗加工间物品摆放整齐、规范，禁止塑料袋装食品上架。垃圾及时清理，目视无凌乱现象。</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发现塑料袋物品上架扣0.5 分，垃圾未及时清理扣0.5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(12)烹调间工作完毕，不得摆放垃圾桶。</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发现乱摆放垃圾用品扣0.5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(13)面点工作台面，不得作为菜墩直接使用。</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发现乱使用者扣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(14)餐具洗消工作时，餐具不得直接放置在地面上；及时清扫地面污迹，不得堵塞下水道。</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发现餐具放置地面扣 0.5分，扣 1 分下水道堵塞</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(15)餐具消毒柜所有餐具码放整齐、规范。</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未摆放整齐、规范扣 0.5分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(16)留样盒表面无水迹，无污渍、无刮痕，里面无异味、无污垢、无残留物、干净整洁、物品分类规范、清楚。</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发现留样柜有异味扣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(17)冷藏库无异昧，食品摆放鏊齐、规范。</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未摆放整齐、规范扣 0.5分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(18)冷冻、冷藏设备每周化霜处理。冷冻室干净，无异味，食品摆放整齐、规范。</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未摆放整齐、规范扣 0.5分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(19)排水沟无残留物、无积水、无污垢，无异味。</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发现排水沟未处理干净扣1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(20)烟罩无油污、无水渍、无污垢、无灰尘，保持原有光亮度。</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(21)厨房设备设施有周期性清洁、保养计划，有具体落实措施并在采购人留底备查。每月对烟道清洗一次，有记录。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未计划及措施扣 1 分，每月未对烟道清理扣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(22)垃圾处理及时，袋装垃圾摆放整齐。残食处理处地面无明显垃圾，无污水外溢，无明显异味，无蚊蝇飞舞，垃圾日产日清。</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发现日垃圾未处理扣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(1)地面干净，无污渍、无水渍，无异味，墙壁表面干净、无污迹、无擦痕， 隔断表面干净、无污渍、无乱写乱画现象。</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发现有污渍扣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(2)大、小便池表面表面光洁、明亮、内外侧无污渍、无毛发；感应开关表面光洁，无污迹</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发现有污渍扣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(3)金属附件表面干净，无污迹，有金属光泽</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发现有污迹扣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(4)天花板无污迹、无蜘蛛网；风口或换气扇表面干净无积尘。</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发现有蜘蛛网扣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(5)门表面干净、无污迹；面盆无积水、无水锈、无污垢。</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(6)纸篓不能超过 2/3 满，无异味</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如发现垃圾超过 2/3 未倒扣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(7)洗手液、纸巾用晶充足、齐全，无破损</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纸巾用品补充不充足扣 1分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(8)有卫生情况卡片，主管签到。</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未签到一次扣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(9)卫生间内保持空气流通、无异味。</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灭四害（协助甲方监督）</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(1)定期组织对后厨进行消毒，每月不少于四次。控制苍蝇、蚊虫、蟑螂的密度。</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每月如少于 4 次对后厨消毒发现一次扣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(2)消杀用药须符合国家规定，有专业人员操作。</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(3)严格执行防疫消毒制度。</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未按防疫消毒制度进行消毒扣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(4)制定有效防鼠、灭鼠措施，并积极组织实施。</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餐</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毒</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(1)餐具使用后必须严格洗净消毒，做到使用一次消毒一次，消毒按一洗、二刷、三冲、四消毒、五洁净、六烘干顺序操作，开餐前餐具不得有污迹。</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未按要求消毒扣 1 分，就餐时餐具有污迹扣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(2)消毒柜定期检查维护，保证消毒柜的正常使用。</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未对消毒柜定期维护发现一次扣 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(3)保持餐具的完整美观、摆放整齐洁净，餐具不得损坏，报损率每月控制在（不锈钢餐具 0.5%；雅间瓷器 1%； 普通瓷器 2%；玻璃器皿 1.5%；筷子2%）。</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不按要求扣 2 分，餐具损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坏超出报损扣 2 分并照价赔偿</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(4)所用餐具、刀具、筐、盆、盒子必须用后消毒，分粪存放，禁止直接落地。</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未按要求做发现一次扣</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(5)冷菜、荤菜每日做好高温消毒及紫外线消毒，并有消毒记录。</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未消毒记录发现一次扣0.5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(6)洗涤剂、消毒液符合国家安全规定；配置比例必须根据要求配置，并在使用日期内使用。</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未按要求发现一次扣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034" w:type="dxa"/>
            <w:gridSpan w:val="4"/>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四、节能降耗（5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532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考核内容</w:t>
            </w:r>
          </w:p>
        </w:tc>
        <w:tc>
          <w:tcPr>
            <w:tcW w:w="3207"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扣分标准</w:t>
            </w:r>
          </w:p>
        </w:tc>
        <w:tc>
          <w:tcPr>
            <w:tcW w:w="751"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考</w:t>
            </w:r>
            <w:r>
              <w:rPr>
                <w:rFonts w:hint="eastAsia" w:asciiTheme="minorEastAsia" w:hAnsiTheme="minorEastAsia" w:eastAsiaTheme="minorEastAsia" w:cstheme="minorEastAsia"/>
                <w:color w:val="auto"/>
                <w:sz w:val="21"/>
                <w:szCs w:val="21"/>
                <w:highlight w:val="none"/>
              </w:rPr>
              <w:t>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restart"/>
            <w:tcBorders>
              <w:top w:val="nil"/>
            </w:tcBorders>
            <w:shd w:val="clear" w:color="auto" w:fill="auto"/>
            <w:noWrap w:val="0"/>
            <w:vAlign w:val="top"/>
          </w:tcPr>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节</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能</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降</w:t>
            </w:r>
          </w:p>
          <w:p>
            <w:pPr>
              <w:jc w:val="center"/>
              <w:rPr>
                <w:rFonts w:hint="eastAsia" w:asciiTheme="minorEastAsia" w:hAnsiTheme="minorEastAsia" w:eastAsiaTheme="minorEastAsia" w:cstheme="minorEastAsia"/>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耗</w:t>
            </w: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(1)节约用电、用气、用水。</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发现浪费现象一次扣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协助采购人管理节能降耗减排工作，建立节能降耗工作协调机制，明确责任分工，确定专职人员，建立水电气节能管理制度。</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没有建立节能降耗减排制度和无明确分工扣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(3)建立日常检查记录表，工程人员随时跟踪水电气使用情况。</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未按要求执行发现一次扣1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(4)建立水电气设备日常登记工作，每月按时上报采购人交办的各种报表、材料。</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未按要求执行发现一次扣1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(5)认真巡查，杜绝浪费，每月数据出现异常应查缺补漏，细化措施，深度挖潜，做到人走闸闭。</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无故超水超电超气该项不得分，发现一次项不得分，发现一次扣 2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47" w:type="dxa"/>
            <w:vMerge w:val="continue"/>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c>
          <w:tcPr>
            <w:tcW w:w="5329"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(6)工作间、用餐间及公共区域的用电和照明采用节能型设备，并按有关节能规定进行管理。</w:t>
            </w:r>
          </w:p>
        </w:tc>
        <w:tc>
          <w:tcPr>
            <w:tcW w:w="3207"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没有按要求扣 1 分</w:t>
            </w:r>
          </w:p>
        </w:tc>
        <w:tc>
          <w:tcPr>
            <w:tcW w:w="751" w:type="dxa"/>
            <w:shd w:val="clear" w:color="auto" w:fill="auto"/>
            <w:noWrap w:val="0"/>
            <w:vAlign w:val="top"/>
          </w:tcPr>
          <w:p>
            <w:pPr>
              <w:rPr>
                <w:rFonts w:hint="eastAsia" w:asciiTheme="minorEastAsia" w:hAnsiTheme="minorEastAsia" w:eastAsiaTheme="minorEastAsia" w:cstheme="minorEastAsia"/>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outlineLvl w:val="2"/>
        <w:rPr>
          <w:rFonts w:hint="eastAsia" w:asciiTheme="minorEastAsia" w:hAnsiTheme="minorEastAsia" w:eastAsiaTheme="minorEastAsia" w:cstheme="minorEastAsia"/>
          <w:b/>
          <w:bCs w:val="0"/>
          <w:color w:val="auto"/>
          <w:sz w:val="21"/>
          <w:szCs w:val="21"/>
          <w:highlight w:val="none"/>
          <w:lang w:val="en-US" w:eastAsia="zh-CN"/>
        </w:rPr>
      </w:pPr>
      <w:bookmarkStart w:id="138" w:name="_Toc25761"/>
      <w:r>
        <w:rPr>
          <w:rFonts w:hint="eastAsia" w:asciiTheme="minorEastAsia" w:hAnsiTheme="minorEastAsia" w:eastAsiaTheme="minorEastAsia" w:cstheme="minorEastAsia"/>
          <w:b/>
          <w:bCs w:val="0"/>
          <w:color w:val="auto"/>
          <w:sz w:val="21"/>
          <w:szCs w:val="21"/>
          <w:highlight w:val="none"/>
          <w:lang w:val="en-US" w:eastAsia="zh-CN"/>
        </w:rPr>
        <w:t>会务员考核标准</w:t>
      </w:r>
      <w:bookmarkEnd w:id="138"/>
    </w:p>
    <w:tbl>
      <w:tblPr>
        <w:tblStyle w:val="40"/>
        <w:tblW w:w="9678" w:type="dxa"/>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29"/>
        <w:gridCol w:w="526"/>
        <w:gridCol w:w="5026"/>
        <w:gridCol w:w="2919"/>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9" w:hRule="atLeast"/>
        </w:trPr>
        <w:tc>
          <w:tcPr>
            <w:tcW w:w="52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序号</w:t>
            </w:r>
          </w:p>
        </w:tc>
        <w:tc>
          <w:tcPr>
            <w:tcW w:w="50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考核内容</w:t>
            </w:r>
          </w:p>
        </w:tc>
        <w:tc>
          <w:tcPr>
            <w:tcW w:w="291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扣分标准</w:t>
            </w:r>
          </w:p>
        </w:tc>
        <w:tc>
          <w:tcPr>
            <w:tcW w:w="678"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考</w:t>
            </w:r>
            <w:r>
              <w:rPr>
                <w:rFonts w:hint="eastAsia" w:asciiTheme="minorEastAsia" w:hAnsiTheme="minorEastAsia" w:eastAsiaTheme="minorEastAsia" w:cstheme="minorEastAsia"/>
                <w:color w:val="auto"/>
                <w:sz w:val="21"/>
                <w:szCs w:val="21"/>
                <w:highlight w:val="none"/>
              </w:rPr>
              <w:t>核</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举止</w:t>
            </w: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不穿工服、着装不整、不佩戴工作证、举止不文明</w:t>
            </w:r>
          </w:p>
        </w:tc>
        <w:tc>
          <w:tcPr>
            <w:tcW w:w="291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restart"/>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出勤</w:t>
            </w: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迟到、早退</w:t>
            </w:r>
          </w:p>
        </w:tc>
        <w:tc>
          <w:tcPr>
            <w:tcW w:w="2919" w:type="dxa"/>
            <w:vMerge w:val="restart"/>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continue"/>
            <w:tcBorders>
              <w:top w:val="nil"/>
            </w:tcBorders>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事假未提前报备</w:t>
            </w:r>
          </w:p>
        </w:tc>
        <w:tc>
          <w:tcPr>
            <w:tcW w:w="2919" w:type="dxa"/>
            <w:vMerge w:val="continue"/>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9" w:type="dxa"/>
            <w:vMerge w:val="continue"/>
            <w:tcBorders>
              <w:top w:val="nil"/>
            </w:tcBorders>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不请假无故旷工</w:t>
            </w:r>
          </w:p>
        </w:tc>
        <w:tc>
          <w:tcPr>
            <w:tcW w:w="2919" w:type="dxa"/>
            <w:vMerge w:val="continue"/>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29" w:type="dxa"/>
            <w:vMerge w:val="restart"/>
            <w:tcBorders>
              <w:top w:val="nil"/>
            </w:tcBorders>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工作态度</w:t>
            </w: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不服从领导，不听从分配</w:t>
            </w:r>
          </w:p>
        </w:tc>
        <w:tc>
          <w:tcPr>
            <w:tcW w:w="291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第一次扣2分，第二次扣5分，第三次辞退</w:t>
            </w: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9" w:type="dxa"/>
            <w:vMerge w:val="continue"/>
            <w:tcBorders>
              <w:top w:val="nil"/>
            </w:tcBorders>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上班时边吃边工作</w:t>
            </w:r>
          </w:p>
        </w:tc>
        <w:tc>
          <w:tcPr>
            <w:tcW w:w="291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每发现一次扣3分</w:t>
            </w: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9" w:type="dxa"/>
            <w:vMerge w:val="continue"/>
            <w:tcBorders>
              <w:top w:val="nil"/>
            </w:tcBorders>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026"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服务态度不好，言行举止欠文明</w:t>
            </w:r>
          </w:p>
        </w:tc>
        <w:tc>
          <w:tcPr>
            <w:tcW w:w="2919" w:type="dxa"/>
            <w:shd w:val="clear" w:color="auto" w:fill="auto"/>
            <w:noWrap w:val="0"/>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每发现一次扣3分</w:t>
            </w:r>
          </w:p>
        </w:tc>
        <w:tc>
          <w:tcPr>
            <w:tcW w:w="678" w:type="dxa"/>
            <w:shd w:val="clear" w:color="auto" w:fill="auto"/>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9" w:hRule="atLeast"/>
        </w:trPr>
        <w:tc>
          <w:tcPr>
            <w:tcW w:w="529" w:type="dxa"/>
            <w:vMerge w:val="restar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上岗</w:t>
            </w: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上岗时看书、报、电视，收听广播、玩手机游戏，等做与工作无关的事</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上班时间脱岗、窜岗、打闹</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每发现一次扣5分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未经允许，擅自做兼职者</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首次扣10分，第二次辞退</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上班时间工作任务未完成私自拾破烂者</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每发现一次扣5分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因使用不当，造成公物及设施设备损坏、丢失者</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照价赔偿并扣3分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不按合同定岗、定人</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缺1人次扣5分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故意损坏公物及设施设备者</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除照价赔偿外另扣5分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9" w:type="dxa"/>
            <w:vMerge w:val="restar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w:t>
            </w:r>
            <w:r>
              <w:rPr>
                <w:rFonts w:hint="eastAsia" w:asciiTheme="minorEastAsia" w:hAnsiTheme="minorEastAsia" w:eastAsiaTheme="minorEastAsia" w:cstheme="minorEastAsia"/>
                <w:color w:val="auto"/>
                <w:sz w:val="21"/>
                <w:szCs w:val="21"/>
                <w:highlight w:val="none"/>
                <w:lang w:eastAsia="zh-CN"/>
              </w:rPr>
              <w:t>度</w:t>
            </w:r>
            <w:r>
              <w:rPr>
                <w:rFonts w:hint="eastAsia" w:asciiTheme="minorEastAsia" w:hAnsiTheme="minorEastAsia" w:eastAsiaTheme="minorEastAsia" w:cstheme="minorEastAsia"/>
                <w:color w:val="auto"/>
                <w:sz w:val="21"/>
                <w:szCs w:val="21"/>
                <w:highlight w:val="none"/>
              </w:rPr>
              <w:t>、</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措施、</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w:t>
            </w: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如违反此表未明确的其它采购人相关规章制度</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每发现一次扣2分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制度、措施、方案不健全</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每项扣1分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27"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严禁外来人员留宿，禁止外来人员到采购人提供的办公住宿娱乐及会客，发现黄、赌、毒等行为</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视情节轻重每人扣2—5分，严重者移送公安机关并开除处理，扣5分以上。</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27" w:hRule="atLeast"/>
        </w:trPr>
        <w:tc>
          <w:tcPr>
            <w:tcW w:w="529" w:type="dxa"/>
            <w:vMerge w:val="restart"/>
            <w:shd w:val="clear" w:color="auto" w:fill="auto"/>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务</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量</w:t>
            </w: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各项服务标准和服务质量必须达到采购方要求（忙时接通率≥</w:t>
            </w:r>
            <w:r>
              <w:rPr>
                <w:rFonts w:hint="eastAsia" w:asciiTheme="minorEastAsia" w:hAnsiTheme="minorEastAsia" w:eastAsiaTheme="minorEastAsia" w:cstheme="minorEastAsia"/>
                <w:color w:val="auto"/>
                <w:sz w:val="21"/>
                <w:szCs w:val="21"/>
                <w:highlight w:val="none"/>
                <w:lang w:val="en-US" w:eastAsia="zh-CN"/>
              </w:rPr>
              <w:t>90%，应答时限≤15秒，应答及时率=100%，信息查到率，信息准确率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99%。</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出现差错（包括库中信息未查到、错查信息、应答错误、回访不到位、工作流程操作错误等）。</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3" w:hRule="atLeast"/>
        </w:trPr>
        <w:tc>
          <w:tcPr>
            <w:tcW w:w="529" w:type="dxa"/>
            <w:vMerge w:val="continue"/>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c>
          <w:tcPr>
            <w:tcW w:w="526" w:type="dxa"/>
            <w:shd w:val="clear" w:color="auto" w:fill="auto"/>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5026"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由于员工服务差错和服务不到们等原因，引起客户投诉</w:t>
            </w:r>
          </w:p>
        </w:tc>
        <w:tc>
          <w:tcPr>
            <w:tcW w:w="2919" w:type="dxa"/>
            <w:shd w:val="clear" w:color="auto" w:fill="auto"/>
            <w:vAlign w:val="center"/>
          </w:tcPr>
          <w:p>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每发现一次扣</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c>
          <w:tcPr>
            <w:tcW w:w="678" w:type="dxa"/>
            <w:shd w:val="clear" w:color="auto" w:fill="auto"/>
            <w:vAlign w:val="center"/>
          </w:tcPr>
          <w:p>
            <w:pPr>
              <w:rPr>
                <w:rFonts w:hint="eastAsia" w:asciiTheme="minorEastAsia" w:hAnsiTheme="minorEastAsia" w:eastAsiaTheme="minorEastAsia" w:cstheme="minorEastAsia"/>
                <w:color w:val="auto"/>
                <w:sz w:val="21"/>
                <w:szCs w:val="21"/>
                <w:highlight w:val="none"/>
              </w:rPr>
            </w:pPr>
          </w:p>
        </w:tc>
      </w:tr>
    </w:tbl>
    <w:p>
      <w:pPr>
        <w:pStyle w:val="17"/>
        <w:keepNext w:val="0"/>
        <w:keepLines w:val="0"/>
        <w:pageBreakBefore w:val="0"/>
        <w:widowControl w:val="0"/>
        <w:kinsoku/>
        <w:wordWrap/>
        <w:overflowPunct/>
        <w:topLinePunct w:val="0"/>
        <w:autoSpaceDE/>
        <w:autoSpaceDN/>
        <w:bidi w:val="0"/>
        <w:adjustRightInd/>
        <w:snapToGrid w:val="0"/>
        <w:spacing w:after="0" w:line="360" w:lineRule="auto"/>
        <w:ind w:right="0" w:firstLine="396" w:firstLineChars="200"/>
        <w:jc w:val="both"/>
        <w:textAlignment w:val="auto"/>
        <w:rPr>
          <w:rFonts w:hint="eastAsia" w:ascii="宋体" w:hAnsi="宋体" w:eastAsia="宋体" w:cs="宋体"/>
          <w:b w:val="0"/>
          <w:bCs w:val="0"/>
          <w:color w:val="auto"/>
          <w:spacing w:val="-6"/>
          <w:sz w:val="21"/>
          <w:szCs w:val="21"/>
          <w:highlight w:val="none"/>
          <w:lang w:eastAsia="zh-CN"/>
        </w:rPr>
      </w:pP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keepNext/>
        <w:keepLines w:val="0"/>
        <w:pageBreakBefore w:val="0"/>
        <w:widowControl/>
        <w:kinsoku/>
        <w:wordWrap/>
        <w:overflowPunct/>
        <w:topLinePunct w:val="0"/>
        <w:autoSpaceDE/>
        <w:autoSpaceDN/>
        <w:bidi w:val="0"/>
        <w:adjustRightInd/>
        <w:snapToGrid/>
        <w:textAlignment w:val="auto"/>
        <w:outlineLvl w:val="9"/>
        <w:rPr>
          <w:rFonts w:hint="eastAsia"/>
          <w:color w:val="auto"/>
          <w:highlight w:val="none"/>
        </w:rPr>
      </w:pPr>
    </w:p>
    <w:p>
      <w:pPr>
        <w:spacing w:line="360" w:lineRule="auto"/>
        <w:jc w:val="center"/>
        <w:outlineLvl w:val="0"/>
        <w:rPr>
          <w:rFonts w:ascii="宋体" w:hAnsi="宋体" w:cs="宋体"/>
          <w:b/>
          <w:bCs/>
          <w:color w:val="auto"/>
          <w:sz w:val="28"/>
          <w:szCs w:val="28"/>
          <w:highlight w:val="none"/>
        </w:rPr>
      </w:pPr>
      <w:bookmarkStart w:id="139" w:name="_Toc28794"/>
      <w:r>
        <w:rPr>
          <w:rFonts w:hint="eastAsia" w:ascii="黑体" w:hAnsi="黑体" w:eastAsia="黑体" w:cs="黑体"/>
          <w:b/>
          <w:bCs/>
          <w:color w:val="auto"/>
          <w:sz w:val="32"/>
          <w:szCs w:val="32"/>
          <w:highlight w:val="none"/>
        </w:rPr>
        <w:t>第六章 投标文件格式</w:t>
      </w:r>
      <w:bookmarkEnd w:id="132"/>
      <w:bookmarkEnd w:id="133"/>
      <w:bookmarkEnd w:id="134"/>
      <w:bookmarkEnd w:id="139"/>
    </w:p>
    <w:p>
      <w:pPr>
        <w:pStyle w:val="4"/>
        <w:spacing w:line="440" w:lineRule="exact"/>
        <w:jc w:val="center"/>
        <w:rPr>
          <w:rFonts w:ascii="宋体" w:hAnsi="宋体" w:eastAsia="宋体" w:cs="宋体"/>
          <w:color w:val="auto"/>
          <w:highlight w:val="none"/>
        </w:rPr>
      </w:pPr>
      <w:bookmarkStart w:id="140" w:name="_Toc29619"/>
      <w:bookmarkStart w:id="141" w:name="_Toc520811999"/>
      <w:bookmarkStart w:id="142" w:name="_Toc435515292"/>
      <w:bookmarkStart w:id="143" w:name="_Toc435514852"/>
      <w:bookmarkStart w:id="144" w:name="_Toc25810"/>
      <w:bookmarkStart w:id="145" w:name="_Toc25953"/>
      <w:r>
        <w:rPr>
          <w:rFonts w:hint="eastAsia" w:ascii="宋体" w:hAnsi="宋体" w:eastAsia="宋体" w:cs="宋体"/>
          <w:color w:val="auto"/>
          <w:highlight w:val="none"/>
        </w:rPr>
        <w:t>投标文件包装封面参考</w:t>
      </w:r>
      <w:bookmarkEnd w:id="140"/>
      <w:bookmarkEnd w:id="141"/>
      <w:bookmarkEnd w:id="142"/>
      <w:bookmarkEnd w:id="143"/>
      <w:bookmarkEnd w:id="144"/>
      <w:bookmarkEnd w:id="145"/>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5000" w:type="pct"/>
          </w:tcPr>
          <w:p>
            <w:pPr>
              <w:pStyle w:val="17"/>
              <w:spacing w:line="360" w:lineRule="auto"/>
              <w:ind w:firstLine="482" w:firstLineChars="150"/>
              <w:rPr>
                <w:rFonts w:ascii="宋体" w:hAnsi="宋体" w:cs="宋体"/>
                <w:b/>
                <w:color w:val="auto"/>
                <w:kern w:val="2"/>
                <w:sz w:val="32"/>
                <w:highlight w:val="none"/>
              </w:rPr>
            </w:pPr>
          </w:p>
          <w:p>
            <w:pPr>
              <w:pStyle w:val="17"/>
              <w:spacing w:line="360" w:lineRule="auto"/>
              <w:ind w:firstLine="482" w:firstLineChars="150"/>
              <w:rPr>
                <w:rFonts w:ascii="宋体" w:hAnsi="宋体" w:cs="宋体"/>
                <w:b/>
                <w:color w:val="auto"/>
                <w:kern w:val="2"/>
                <w:sz w:val="32"/>
                <w:highlight w:val="none"/>
              </w:rPr>
            </w:pPr>
          </w:p>
          <w:p>
            <w:pPr>
              <w:pStyle w:val="17"/>
              <w:spacing w:line="360" w:lineRule="auto"/>
              <w:ind w:firstLine="482" w:firstLineChars="150"/>
              <w:rPr>
                <w:rFonts w:ascii="宋体" w:hAnsi="宋体" w:cs="宋体"/>
                <w:b/>
                <w:color w:val="auto"/>
                <w:kern w:val="2"/>
                <w:sz w:val="32"/>
                <w:highlight w:val="none"/>
              </w:rPr>
            </w:pPr>
          </w:p>
          <w:p>
            <w:pPr>
              <w:pStyle w:val="17"/>
              <w:spacing w:line="360" w:lineRule="auto"/>
              <w:jc w:val="center"/>
              <w:rPr>
                <w:rFonts w:ascii="宋体" w:hAnsi="宋体" w:cs="宋体"/>
                <w:b/>
                <w:color w:val="auto"/>
                <w:kern w:val="2"/>
                <w:sz w:val="72"/>
                <w:szCs w:val="72"/>
                <w:highlight w:val="none"/>
              </w:rPr>
            </w:pPr>
            <w:r>
              <w:rPr>
                <w:rFonts w:hint="eastAsia" w:ascii="宋体" w:hAnsi="宋体" w:cs="宋体"/>
                <w:b/>
                <w:color w:val="auto"/>
                <w:kern w:val="2"/>
                <w:sz w:val="72"/>
                <w:szCs w:val="72"/>
                <w:highlight w:val="none"/>
              </w:rPr>
              <w:t>投 标 文 件</w:t>
            </w:r>
          </w:p>
          <w:p>
            <w:pPr>
              <w:pStyle w:val="17"/>
              <w:spacing w:line="360" w:lineRule="auto"/>
              <w:ind w:firstLine="3398" w:firstLineChars="651"/>
              <w:rPr>
                <w:rFonts w:ascii="宋体" w:hAnsi="宋体" w:cs="宋体"/>
                <w:b/>
                <w:color w:val="auto"/>
                <w:kern w:val="2"/>
                <w:sz w:val="32"/>
                <w:highlight w:val="none"/>
              </w:rPr>
            </w:pPr>
            <w:r>
              <w:rPr>
                <w:rFonts w:hint="eastAsia" w:ascii="宋体" w:hAnsi="宋体" w:cs="宋体"/>
                <w:b/>
                <w:color w:val="auto"/>
                <w:kern w:val="2"/>
                <w:sz w:val="52"/>
                <w:szCs w:val="52"/>
                <w:highlight w:val="none"/>
              </w:rPr>
              <w:t xml:space="preserve">口 </w:t>
            </w:r>
            <w:r>
              <w:rPr>
                <w:rFonts w:hint="eastAsia" w:ascii="宋体" w:hAnsi="宋体" w:cs="宋体"/>
                <w:b/>
                <w:color w:val="auto"/>
                <w:kern w:val="2"/>
                <w:sz w:val="32"/>
                <w:highlight w:val="none"/>
              </w:rPr>
              <w:t>正本</w:t>
            </w:r>
          </w:p>
          <w:p>
            <w:pPr>
              <w:pStyle w:val="17"/>
              <w:spacing w:line="360" w:lineRule="auto"/>
              <w:ind w:firstLine="3398" w:firstLineChars="651"/>
              <w:rPr>
                <w:rFonts w:ascii="宋体" w:hAnsi="宋体" w:cs="宋体"/>
                <w:b/>
                <w:color w:val="auto"/>
                <w:kern w:val="2"/>
                <w:sz w:val="32"/>
                <w:highlight w:val="none"/>
              </w:rPr>
            </w:pPr>
            <w:r>
              <w:rPr>
                <w:rFonts w:hint="eastAsia" w:ascii="宋体" w:hAnsi="宋体" w:cs="宋体"/>
                <w:b/>
                <w:color w:val="auto"/>
                <w:kern w:val="2"/>
                <w:sz w:val="52"/>
                <w:szCs w:val="52"/>
                <w:highlight w:val="none"/>
              </w:rPr>
              <w:t xml:space="preserve">口 </w:t>
            </w:r>
            <w:r>
              <w:rPr>
                <w:rFonts w:hint="eastAsia" w:ascii="宋体" w:hAnsi="宋体" w:cs="宋体"/>
                <w:b/>
                <w:color w:val="auto"/>
                <w:kern w:val="2"/>
                <w:sz w:val="32"/>
                <w:highlight w:val="none"/>
              </w:rPr>
              <w:t>副本</w:t>
            </w:r>
          </w:p>
          <w:p>
            <w:pPr>
              <w:pStyle w:val="17"/>
              <w:spacing w:line="360" w:lineRule="auto"/>
              <w:rPr>
                <w:rFonts w:ascii="宋体" w:hAnsi="宋体" w:cs="宋体"/>
                <w:b/>
                <w:color w:val="auto"/>
                <w:kern w:val="2"/>
                <w:sz w:val="32"/>
                <w:highlight w:val="none"/>
              </w:rPr>
            </w:pPr>
          </w:p>
          <w:p>
            <w:pPr>
              <w:pStyle w:val="17"/>
              <w:spacing w:line="360" w:lineRule="auto"/>
              <w:rPr>
                <w:rFonts w:ascii="宋体" w:hAnsi="宋体" w:cs="宋体"/>
                <w:b/>
                <w:color w:val="auto"/>
                <w:kern w:val="2"/>
                <w:sz w:val="32"/>
                <w:highlight w:val="none"/>
              </w:rPr>
            </w:pPr>
          </w:p>
          <w:p>
            <w:pPr>
              <w:pStyle w:val="17"/>
              <w:spacing w:line="360" w:lineRule="auto"/>
              <w:rPr>
                <w:rFonts w:ascii="宋体" w:hAnsi="宋体" w:cs="宋体"/>
                <w:b/>
                <w:color w:val="auto"/>
                <w:kern w:val="2"/>
                <w:sz w:val="32"/>
                <w:highlight w:val="none"/>
              </w:rPr>
            </w:pPr>
          </w:p>
          <w:p>
            <w:pPr>
              <w:pStyle w:val="17"/>
              <w:spacing w:line="400" w:lineRule="exact"/>
              <w:ind w:firstLine="900" w:firstLineChars="320"/>
              <w:rPr>
                <w:rFonts w:ascii="宋体" w:hAnsi="宋体" w:cs="宋体"/>
                <w:b/>
                <w:color w:val="auto"/>
                <w:kern w:val="2"/>
                <w:sz w:val="28"/>
                <w:szCs w:val="28"/>
                <w:highlight w:val="none"/>
              </w:rPr>
            </w:pPr>
            <w:r>
              <w:rPr>
                <w:rFonts w:hint="eastAsia" w:ascii="宋体" w:hAnsi="宋体" w:cs="宋体"/>
                <w:b/>
                <w:color w:val="auto"/>
                <w:kern w:val="2"/>
                <w:sz w:val="28"/>
                <w:szCs w:val="28"/>
                <w:highlight w:val="none"/>
              </w:rPr>
              <w:t>项目编号：</w:t>
            </w:r>
          </w:p>
          <w:p>
            <w:pPr>
              <w:pStyle w:val="17"/>
              <w:spacing w:line="400" w:lineRule="exact"/>
              <w:ind w:firstLine="900" w:firstLineChars="320"/>
              <w:rPr>
                <w:rFonts w:ascii="宋体" w:hAnsi="宋体" w:cs="宋体"/>
                <w:b/>
                <w:color w:val="auto"/>
                <w:kern w:val="2"/>
                <w:sz w:val="28"/>
                <w:szCs w:val="28"/>
                <w:highlight w:val="none"/>
              </w:rPr>
            </w:pPr>
            <w:r>
              <w:rPr>
                <w:rFonts w:hint="eastAsia" w:ascii="宋体" w:hAnsi="宋体" w:cs="宋体"/>
                <w:b/>
                <w:color w:val="auto"/>
                <w:kern w:val="2"/>
                <w:sz w:val="28"/>
                <w:szCs w:val="28"/>
                <w:highlight w:val="none"/>
              </w:rPr>
              <w:t>项目名称：</w:t>
            </w:r>
          </w:p>
          <w:p>
            <w:pPr>
              <w:pStyle w:val="17"/>
              <w:spacing w:line="400" w:lineRule="exact"/>
              <w:ind w:firstLine="900" w:firstLineChars="320"/>
              <w:rPr>
                <w:rFonts w:ascii="宋体" w:hAnsi="宋体" w:cs="宋体"/>
                <w:b/>
                <w:color w:val="auto"/>
                <w:kern w:val="2"/>
                <w:sz w:val="28"/>
                <w:szCs w:val="28"/>
                <w:highlight w:val="none"/>
              </w:rPr>
            </w:pPr>
            <w:r>
              <w:rPr>
                <w:rFonts w:hint="eastAsia" w:ascii="宋体" w:hAnsi="宋体" w:cs="宋体"/>
                <w:b/>
                <w:color w:val="auto"/>
                <w:kern w:val="2"/>
                <w:sz w:val="28"/>
                <w:szCs w:val="28"/>
                <w:highlight w:val="none"/>
              </w:rPr>
              <w:t>投标人名称：</w:t>
            </w:r>
          </w:p>
          <w:p>
            <w:pPr>
              <w:pStyle w:val="17"/>
              <w:spacing w:line="400" w:lineRule="exact"/>
              <w:ind w:firstLine="900" w:firstLineChars="320"/>
              <w:rPr>
                <w:rFonts w:ascii="宋体" w:hAnsi="宋体" w:cs="宋体"/>
                <w:b/>
                <w:color w:val="auto"/>
                <w:kern w:val="2"/>
                <w:sz w:val="28"/>
                <w:szCs w:val="28"/>
                <w:highlight w:val="none"/>
              </w:rPr>
            </w:pPr>
            <w:r>
              <w:rPr>
                <w:rFonts w:hint="eastAsia" w:ascii="宋体" w:hAnsi="宋体" w:cs="宋体"/>
                <w:b/>
                <w:color w:val="auto"/>
                <w:kern w:val="2"/>
                <w:sz w:val="28"/>
                <w:szCs w:val="28"/>
                <w:highlight w:val="none"/>
              </w:rPr>
              <w:t>投标人地址：</w:t>
            </w:r>
          </w:p>
          <w:p>
            <w:pPr>
              <w:tabs>
                <w:tab w:val="left" w:pos="851"/>
              </w:tabs>
              <w:autoSpaceDE w:val="0"/>
              <w:autoSpaceDN w:val="0"/>
              <w:adjustRightInd w:val="0"/>
              <w:snapToGrid w:val="0"/>
              <w:spacing w:line="420" w:lineRule="auto"/>
              <w:jc w:val="center"/>
              <w:rPr>
                <w:rFonts w:ascii="宋体" w:hAnsi="宋体" w:cs="宋体"/>
                <w:b/>
                <w:color w:val="auto"/>
                <w:sz w:val="32"/>
                <w:highlight w:val="none"/>
              </w:rPr>
            </w:pPr>
          </w:p>
        </w:tc>
      </w:tr>
    </w:tbl>
    <w:p>
      <w:pPr>
        <w:pStyle w:val="4"/>
        <w:spacing w:beforeLines="50" w:afterLines="50" w:line="360" w:lineRule="auto"/>
        <w:jc w:val="center"/>
        <w:rPr>
          <w:rFonts w:ascii="宋体" w:hAnsi="宋体" w:eastAsia="宋体" w:cs="宋体"/>
          <w:bCs w:val="0"/>
          <w:color w:val="auto"/>
          <w:highlight w:val="none"/>
        </w:rPr>
      </w:pPr>
      <w:r>
        <w:rPr>
          <w:rFonts w:hint="eastAsia" w:ascii="宋体" w:hAnsi="宋体" w:eastAsia="宋体" w:cs="宋体"/>
          <w:bCs w:val="0"/>
          <w:color w:val="auto"/>
          <w:sz w:val="28"/>
          <w:highlight w:val="none"/>
        </w:rPr>
        <w:br w:type="page"/>
      </w:r>
      <w:bookmarkStart w:id="146" w:name="_Toc520812000"/>
      <w:bookmarkStart w:id="147" w:name="_Toc8077"/>
      <w:bookmarkStart w:id="148" w:name="_Toc5349"/>
      <w:bookmarkStart w:id="149" w:name="_Toc8465"/>
      <w:r>
        <w:rPr>
          <w:rFonts w:hint="eastAsia" w:ascii="宋体" w:hAnsi="宋体" w:eastAsia="宋体" w:cs="宋体"/>
          <w:bCs w:val="0"/>
          <w:color w:val="auto"/>
          <w:highlight w:val="none"/>
        </w:rPr>
        <w:t>投标文件目录表</w:t>
      </w:r>
      <w:bookmarkEnd w:id="146"/>
      <w:bookmarkEnd w:id="147"/>
      <w:bookmarkEnd w:id="148"/>
      <w:bookmarkEnd w:id="149"/>
    </w:p>
    <w:p>
      <w:pPr>
        <w:pStyle w:val="81"/>
        <w:numPr>
          <w:ilvl w:val="0"/>
          <w:numId w:val="43"/>
        </w:numPr>
        <w:adjustRightInd w:val="0"/>
        <w:snapToGrid w:val="0"/>
        <w:spacing w:line="360" w:lineRule="auto"/>
        <w:ind w:firstLineChars="0"/>
        <w:rPr>
          <w:rFonts w:ascii="宋体" w:hAnsi="宋体" w:cs="宋体"/>
          <w:b/>
          <w:bCs/>
          <w:color w:val="auto"/>
          <w:highlight w:val="none"/>
        </w:rPr>
      </w:pPr>
      <w:bookmarkStart w:id="150" w:name="_Hlk496781308"/>
      <w:r>
        <w:rPr>
          <w:rFonts w:hint="eastAsia" w:ascii="宋体" w:hAnsi="宋体" w:cs="宋体"/>
          <w:b/>
          <w:bCs/>
          <w:color w:val="auto"/>
          <w:highlight w:val="none"/>
        </w:rPr>
        <w:t>投标人编制投标文件中的项目编号应为</w:t>
      </w:r>
      <w:r>
        <w:rPr>
          <w:rFonts w:hint="eastAsia" w:ascii="宋体" w:hAnsi="宋体" w:cs="宋体"/>
          <w:b/>
          <w:bCs/>
          <w:color w:val="auto"/>
          <w:highlight w:val="none"/>
          <w:lang w:eastAsia="zh-CN"/>
        </w:rPr>
        <w:t>ZDAZB-FS-2021020</w:t>
      </w:r>
      <w:r>
        <w:rPr>
          <w:rFonts w:hint="eastAsia" w:ascii="宋体" w:hAnsi="宋体" w:cs="宋体"/>
          <w:b/>
          <w:bCs/>
          <w:color w:val="auto"/>
          <w:highlight w:val="none"/>
        </w:rPr>
        <w:t>。</w:t>
      </w:r>
    </w:p>
    <w:p>
      <w:pPr>
        <w:pStyle w:val="81"/>
        <w:numPr>
          <w:ilvl w:val="0"/>
          <w:numId w:val="43"/>
        </w:numPr>
        <w:adjustRightInd w:val="0"/>
        <w:snapToGrid w:val="0"/>
        <w:spacing w:line="360" w:lineRule="auto"/>
        <w:ind w:firstLineChars="0"/>
        <w:rPr>
          <w:rFonts w:ascii="宋体" w:hAnsi="宋体" w:cs="宋体"/>
          <w:color w:val="auto"/>
          <w:highlight w:val="none"/>
        </w:rPr>
      </w:pPr>
      <w:r>
        <w:rPr>
          <w:rFonts w:hint="eastAsia" w:ascii="宋体" w:hAnsi="宋体" w:cs="宋体"/>
          <w:color w:val="auto"/>
          <w:highlight w:val="none"/>
        </w:rPr>
        <w:t>投标人必须严格按照《资格性审查表》的评审内容的要求如实提供证明材料并应加盖投标人公章。未通过资格性审查的投标人，不进入下一环节。</w:t>
      </w:r>
    </w:p>
    <w:p>
      <w:pPr>
        <w:pStyle w:val="81"/>
        <w:numPr>
          <w:ilvl w:val="0"/>
          <w:numId w:val="43"/>
        </w:numPr>
        <w:adjustRightInd w:val="0"/>
        <w:snapToGrid w:val="0"/>
        <w:spacing w:line="360" w:lineRule="auto"/>
        <w:ind w:firstLineChars="0"/>
        <w:rPr>
          <w:rFonts w:ascii="宋体" w:hAnsi="宋体" w:cs="宋体"/>
          <w:color w:val="auto"/>
          <w:highlight w:val="none"/>
        </w:rPr>
      </w:pPr>
      <w:r>
        <w:rPr>
          <w:rFonts w:hint="eastAsia" w:ascii="宋体" w:hAnsi="宋体" w:cs="宋体"/>
          <w:color w:val="auto"/>
          <w:highlight w:val="none"/>
        </w:rPr>
        <w:t>投标人必须严格按照《符合性审查表》的评审内容的要求如实提供证明材料并应加盖投标人公章。未通过符合性审查的投标人，不进入下一个详细评审环节。</w:t>
      </w:r>
    </w:p>
    <w:p>
      <w:pPr>
        <w:pStyle w:val="81"/>
        <w:numPr>
          <w:ilvl w:val="0"/>
          <w:numId w:val="43"/>
        </w:numPr>
        <w:adjustRightInd w:val="0"/>
        <w:snapToGrid w:val="0"/>
        <w:spacing w:line="360" w:lineRule="auto"/>
        <w:ind w:firstLineChars="0"/>
        <w:rPr>
          <w:rFonts w:ascii="宋体" w:hAnsi="宋体" w:cs="宋体"/>
          <w:b/>
          <w:bCs/>
          <w:color w:val="auto"/>
          <w:highlight w:val="none"/>
        </w:rPr>
      </w:pPr>
      <w:r>
        <w:rPr>
          <w:rFonts w:hint="eastAsia" w:ascii="宋体" w:hAnsi="宋体" w:cs="宋体"/>
          <w:b/>
          <w:bCs/>
          <w:color w:val="auto"/>
          <w:highlight w:val="none"/>
        </w:rPr>
        <w:t>投标人应根据《综合评分表》要求提交的相关各类证明、资料等填写此表，同时应如实提交《综合评分表》要求提交的相关各类证明、资料等并应加盖投标人公章。</w:t>
      </w:r>
    </w:p>
    <w:bookmarkEnd w:id="150"/>
    <w:p>
      <w:pPr>
        <w:jc w:val="center"/>
        <w:rPr>
          <w:rFonts w:ascii="宋体" w:hAnsi="宋体" w:cs="宋体"/>
          <w:b/>
          <w:color w:val="auto"/>
          <w:sz w:val="24"/>
          <w:highlight w:val="none"/>
        </w:rPr>
      </w:pPr>
      <w:bookmarkStart w:id="151" w:name="_Hlk499026453"/>
    </w:p>
    <w:p>
      <w:pPr>
        <w:adjustRightInd w:val="0"/>
        <w:snapToGrid w:val="0"/>
        <w:spacing w:line="360" w:lineRule="auto"/>
        <w:jc w:val="center"/>
        <w:outlineLvl w:val="2"/>
        <w:rPr>
          <w:rFonts w:ascii="宋体" w:hAnsi="宋体" w:cs="宋体"/>
          <w:b/>
          <w:color w:val="auto"/>
          <w:sz w:val="32"/>
          <w:szCs w:val="32"/>
          <w:highlight w:val="none"/>
        </w:rPr>
      </w:pPr>
      <w:bookmarkStart w:id="152" w:name="_Toc15796"/>
      <w:bookmarkStart w:id="153" w:name="_Hlk496781368"/>
      <w:r>
        <w:rPr>
          <w:rFonts w:hint="eastAsia" w:ascii="宋体" w:hAnsi="宋体" w:cs="宋体"/>
          <w:b/>
          <w:color w:val="auto"/>
          <w:sz w:val="32"/>
          <w:szCs w:val="32"/>
          <w:highlight w:val="none"/>
        </w:rPr>
        <w:t>价格评审自查表</w:t>
      </w:r>
      <w:bookmarkEnd w:id="152"/>
    </w:p>
    <w:tbl>
      <w:tblPr>
        <w:tblStyle w:val="40"/>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53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97"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922"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评审分项</w:t>
            </w:r>
          </w:p>
        </w:tc>
        <w:tc>
          <w:tcPr>
            <w:tcW w:w="1680" w:type="pct"/>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97" w:type="pct"/>
            <w:vAlign w:val="center"/>
          </w:tcPr>
          <w:p>
            <w:pPr>
              <w:numPr>
                <w:ilvl w:val="0"/>
                <w:numId w:val="44"/>
              </w:numPr>
              <w:snapToGrid w:val="0"/>
              <w:ind w:left="630" w:leftChars="0" w:firstLineChars="0"/>
              <w:rPr>
                <w:rFonts w:ascii="宋体" w:hAnsi="宋体" w:cs="宋体"/>
                <w:color w:val="auto"/>
                <w:szCs w:val="21"/>
                <w:highlight w:val="none"/>
              </w:rPr>
            </w:pPr>
          </w:p>
        </w:tc>
        <w:tc>
          <w:tcPr>
            <w:tcW w:w="2922"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开标一览表(报价表)</w:t>
            </w:r>
          </w:p>
        </w:tc>
        <w:tc>
          <w:tcPr>
            <w:tcW w:w="1680"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97" w:type="pct"/>
            <w:vAlign w:val="center"/>
          </w:tcPr>
          <w:p>
            <w:pPr>
              <w:numPr>
                <w:ilvl w:val="0"/>
                <w:numId w:val="44"/>
              </w:numPr>
              <w:snapToGrid w:val="0"/>
              <w:ind w:left="630" w:leftChars="0" w:firstLineChars="0"/>
              <w:rPr>
                <w:rFonts w:ascii="宋体" w:hAnsi="宋体" w:cs="宋体"/>
                <w:color w:val="auto"/>
                <w:szCs w:val="21"/>
                <w:highlight w:val="none"/>
              </w:rPr>
            </w:pPr>
          </w:p>
        </w:tc>
        <w:tc>
          <w:tcPr>
            <w:tcW w:w="2922"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中小企业声明函（如有）</w:t>
            </w:r>
          </w:p>
        </w:tc>
        <w:tc>
          <w:tcPr>
            <w:tcW w:w="1680"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97" w:type="pct"/>
            <w:vAlign w:val="center"/>
          </w:tcPr>
          <w:p>
            <w:pPr>
              <w:numPr>
                <w:ilvl w:val="0"/>
                <w:numId w:val="44"/>
              </w:numPr>
              <w:snapToGrid w:val="0"/>
              <w:ind w:left="630" w:leftChars="0" w:firstLineChars="0"/>
              <w:rPr>
                <w:rFonts w:ascii="宋体" w:hAnsi="宋体" w:cs="宋体"/>
                <w:color w:val="auto"/>
                <w:szCs w:val="21"/>
                <w:highlight w:val="none"/>
              </w:rPr>
            </w:pPr>
          </w:p>
        </w:tc>
        <w:tc>
          <w:tcPr>
            <w:tcW w:w="2922"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监狱企业的证明文件（如有）</w:t>
            </w:r>
          </w:p>
        </w:tc>
        <w:tc>
          <w:tcPr>
            <w:tcW w:w="1680"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97" w:type="pct"/>
            <w:vAlign w:val="center"/>
          </w:tcPr>
          <w:p>
            <w:pPr>
              <w:numPr>
                <w:ilvl w:val="0"/>
                <w:numId w:val="44"/>
              </w:numPr>
              <w:snapToGrid w:val="0"/>
              <w:ind w:left="630" w:leftChars="0" w:firstLineChars="0"/>
              <w:rPr>
                <w:rFonts w:ascii="宋体" w:hAnsi="宋体" w:cs="宋体"/>
                <w:color w:val="auto"/>
                <w:szCs w:val="21"/>
                <w:highlight w:val="none"/>
              </w:rPr>
            </w:pPr>
          </w:p>
        </w:tc>
        <w:tc>
          <w:tcPr>
            <w:tcW w:w="2922"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残疾人福利性单位声明函（如有）</w:t>
            </w:r>
          </w:p>
        </w:tc>
        <w:tc>
          <w:tcPr>
            <w:tcW w:w="1680"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7" w:type="pct"/>
            <w:vAlign w:val="center"/>
          </w:tcPr>
          <w:p>
            <w:pPr>
              <w:numPr>
                <w:ilvl w:val="0"/>
                <w:numId w:val="44"/>
              </w:numPr>
              <w:snapToGrid w:val="0"/>
              <w:ind w:left="630" w:leftChars="0" w:firstLineChars="0"/>
              <w:rPr>
                <w:rFonts w:ascii="宋体" w:hAnsi="宋体" w:cs="宋体"/>
                <w:color w:val="auto"/>
                <w:szCs w:val="21"/>
                <w:highlight w:val="none"/>
              </w:rPr>
            </w:pPr>
          </w:p>
        </w:tc>
        <w:tc>
          <w:tcPr>
            <w:tcW w:w="2922"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国家级贫困地区物业服务情况（如有）</w:t>
            </w:r>
          </w:p>
        </w:tc>
        <w:tc>
          <w:tcPr>
            <w:tcW w:w="1680" w:type="pc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bookmarkEnd w:id="153"/>
    </w:tbl>
    <w:p>
      <w:pPr>
        <w:jc w:val="center"/>
        <w:rPr>
          <w:rFonts w:ascii="宋体" w:hAnsi="宋体" w:cs="宋体"/>
          <w:b/>
          <w:color w:val="auto"/>
          <w:sz w:val="24"/>
          <w:highlight w:val="none"/>
        </w:rPr>
      </w:pPr>
    </w:p>
    <w:p>
      <w:pPr>
        <w:jc w:val="center"/>
        <w:rPr>
          <w:rFonts w:ascii="宋体" w:hAnsi="宋体" w:cs="宋体"/>
          <w:b/>
          <w:color w:val="auto"/>
          <w:sz w:val="24"/>
          <w:highlight w:val="none"/>
        </w:rPr>
      </w:pPr>
    </w:p>
    <w:p>
      <w:pPr>
        <w:rPr>
          <w:rFonts w:ascii="宋体" w:hAnsi="宋体" w:cs="宋体"/>
          <w:b/>
          <w:color w:val="auto"/>
          <w:sz w:val="30"/>
          <w:szCs w:val="30"/>
          <w:highlight w:val="none"/>
        </w:rPr>
      </w:pPr>
      <w:bookmarkStart w:id="154" w:name="_Hlk496781392"/>
      <w:r>
        <w:rPr>
          <w:rFonts w:hint="eastAsia" w:ascii="宋体" w:hAnsi="宋体" w:cs="宋体"/>
          <w:b/>
          <w:color w:val="auto"/>
          <w:sz w:val="30"/>
          <w:szCs w:val="30"/>
          <w:highlight w:val="none"/>
        </w:rPr>
        <w:br w:type="page"/>
      </w:r>
    </w:p>
    <w:p>
      <w:pPr>
        <w:adjustRightInd w:val="0"/>
        <w:snapToGrid w:val="0"/>
        <w:spacing w:beforeLines="50"/>
        <w:jc w:val="center"/>
        <w:outlineLvl w:val="2"/>
        <w:rPr>
          <w:rFonts w:ascii="宋体" w:hAnsi="宋体" w:cs="宋体"/>
          <w:b/>
          <w:color w:val="auto"/>
          <w:sz w:val="30"/>
          <w:szCs w:val="30"/>
          <w:highlight w:val="none"/>
        </w:rPr>
      </w:pPr>
      <w:bookmarkStart w:id="155" w:name="_Toc23580"/>
      <w:r>
        <w:rPr>
          <w:rFonts w:hint="eastAsia" w:ascii="宋体" w:hAnsi="宋体" w:cs="宋体"/>
          <w:b/>
          <w:color w:val="auto"/>
          <w:sz w:val="30"/>
          <w:szCs w:val="30"/>
          <w:highlight w:val="none"/>
        </w:rPr>
        <w:t>资格性自查表</w:t>
      </w:r>
      <w:bookmarkEnd w:id="155"/>
    </w:p>
    <w:p>
      <w:pPr>
        <w:adjustRightInd w:val="0"/>
        <w:snapToGrid w:val="0"/>
        <w:jc w:val="left"/>
        <w:rPr>
          <w:rFonts w:ascii="宋体" w:hAnsi="宋体" w:cs="宋体"/>
          <w:color w:val="auto"/>
          <w:highlight w:val="none"/>
        </w:rPr>
      </w:pPr>
    </w:p>
    <w:tbl>
      <w:tblPr>
        <w:tblStyle w:val="4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5972"/>
        <w:gridCol w:w="1424"/>
        <w:gridCol w:w="1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32" w:type="pct"/>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3216" w:type="pct"/>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评 审 内 容</w:t>
            </w:r>
          </w:p>
        </w:tc>
        <w:tc>
          <w:tcPr>
            <w:tcW w:w="767" w:type="pct"/>
            <w:tcBorders>
              <w:tl2br w:val="nil"/>
              <w:tr2bl w:val="nil"/>
            </w:tcBorders>
            <w:vAlign w:val="center"/>
          </w:tcPr>
          <w:p>
            <w:pPr>
              <w:adjustRightInd w:val="0"/>
              <w:snapToGrid w:val="0"/>
              <w:jc w:val="center"/>
              <w:rPr>
                <w:rFonts w:ascii="宋体" w:hAnsi="宋体" w:cs="宋体"/>
                <w:color w:val="auto"/>
                <w:szCs w:val="21"/>
                <w:highlight w:val="none"/>
              </w:rPr>
            </w:pPr>
            <w:r>
              <w:rPr>
                <w:rStyle w:val="43"/>
                <w:rFonts w:hint="eastAsia" w:ascii="宋体" w:hAnsi="宋体" w:cs="宋体"/>
                <w:color w:val="auto"/>
                <w:szCs w:val="21"/>
                <w:highlight w:val="none"/>
              </w:rPr>
              <w:t>自查结论</w:t>
            </w:r>
          </w:p>
        </w:tc>
        <w:tc>
          <w:tcPr>
            <w:tcW w:w="683" w:type="pct"/>
            <w:tcBorders>
              <w:tl2br w:val="nil"/>
              <w:tr2bl w:val="nil"/>
            </w:tcBorders>
            <w:vAlign w:val="center"/>
          </w:tcPr>
          <w:p>
            <w:pPr>
              <w:adjustRightInd w:val="0"/>
              <w:snapToGrid w:val="0"/>
              <w:jc w:val="center"/>
              <w:rPr>
                <w:rFonts w:ascii="宋体" w:hAnsi="宋体" w:cs="宋体"/>
                <w:color w:val="auto"/>
                <w:szCs w:val="21"/>
                <w:highlight w:val="none"/>
              </w:rPr>
            </w:pPr>
            <w:r>
              <w:rPr>
                <w:rFonts w:hint="eastAsia" w:ascii="宋体" w:hAnsi="宋体" w:cs="宋体"/>
                <w:b/>
                <w:color w:val="auto"/>
                <w:szCs w:val="21"/>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具备《中华人民共和国政府采购法》第二十二条：</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1.1</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1.2</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提供具备提供服务所必需的设施、人员和专业技术的能力的书面声明；（提供《投标人资格声明函》）</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1.3</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提供2020年度财务状况报告或</w:t>
            </w:r>
            <w:r>
              <w:rPr>
                <w:rFonts w:hint="eastAsia" w:ascii="宋体" w:hAnsi="宋体" w:cs="宋体"/>
                <w:color w:val="auto"/>
                <w:highlight w:val="none"/>
                <w:lang w:eastAsia="zh-CN"/>
              </w:rPr>
              <w:t>近一年（</w:t>
            </w:r>
            <w:r>
              <w:rPr>
                <w:rFonts w:hint="eastAsia" w:ascii="宋体" w:hAnsi="宋体" w:cs="宋体"/>
                <w:color w:val="auto"/>
                <w:highlight w:val="none"/>
                <w:lang w:val="en-US" w:eastAsia="zh-CN"/>
              </w:rPr>
              <w:t>投标截止时间当月往前顺推12个月</w:t>
            </w:r>
            <w:r>
              <w:rPr>
                <w:rFonts w:hint="eastAsia" w:ascii="宋体" w:hAnsi="宋体" w:cs="宋体"/>
                <w:color w:val="auto"/>
                <w:highlight w:val="none"/>
                <w:lang w:eastAsia="zh-CN"/>
              </w:rPr>
              <w:t>）的财务状况报告</w:t>
            </w:r>
            <w:r>
              <w:rPr>
                <w:rFonts w:hint="eastAsia" w:ascii="宋体" w:hAnsi="宋体" w:cs="宋体"/>
                <w:color w:val="auto"/>
                <w:highlight w:val="none"/>
              </w:rPr>
              <w:t>复印件，或银行出具的资信证明材料复印件；</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1.4</w:t>
            </w:r>
          </w:p>
        </w:tc>
        <w:tc>
          <w:tcPr>
            <w:tcW w:w="3216" w:type="pct"/>
            <w:tcBorders>
              <w:tl2br w:val="nil"/>
              <w:tr2bl w:val="nil"/>
            </w:tcBorders>
            <w:vAlign w:val="center"/>
          </w:tcPr>
          <w:p>
            <w:pPr>
              <w:tabs>
                <w:tab w:val="left" w:pos="612"/>
              </w:tabs>
              <w:rPr>
                <w:rFonts w:hint="eastAsia"/>
              </w:rPr>
            </w:pPr>
            <w:r>
              <w:rPr>
                <w:rFonts w:hint="eastAsia"/>
                <w:lang w:eastAsia="zh-CN"/>
              </w:rPr>
              <w:t>提供近一年（</w:t>
            </w:r>
            <w:r>
              <w:rPr>
                <w:rFonts w:hint="eastAsia"/>
                <w:lang w:val="en-US" w:eastAsia="zh-CN"/>
              </w:rPr>
              <w:t>投标截止时间当月往前顺推12个月</w:t>
            </w:r>
            <w:r>
              <w:rPr>
                <w:rFonts w:hint="eastAsia"/>
                <w:lang w:eastAsia="zh-CN"/>
              </w:rPr>
              <w:t>）缴纳税收和社会保险</w:t>
            </w:r>
            <w:r>
              <w:rPr>
                <w:rFonts w:hint="eastAsia"/>
              </w:rPr>
              <w:t>的凭据证明材料复印件；如依法免税或不需要缴纳社会保障资金的，应提供相应文件证明；</w:t>
            </w:r>
          </w:p>
          <w:p>
            <w:pPr>
              <w:pStyle w:val="2"/>
              <w:ind w:left="0" w:leftChars="0" w:firstLine="0" w:firstLineChars="0"/>
              <w:rPr>
                <w:rFonts w:hint="default" w:eastAsia="宋体"/>
                <w:lang w:val="en-US" w:eastAsia="zh-CN"/>
              </w:rPr>
            </w:pPr>
            <w:r>
              <w:rPr>
                <w:rFonts w:hint="eastAsia"/>
                <w:lang w:val="en-US" w:eastAsia="zh-CN"/>
              </w:rPr>
              <w:t>注：投标人的社保证明因所在地区社保查询的不同规定，如只能查询至查询日的上上月，不能提供规定社保区间的社保证明的，投标人如在投标文件中提供了投标人注册所在地（或分支机构注册所在地）政府部门的社保管理相应文件复印件或打印件，其所提供的社保可以按当地的文件要求相应顺推。</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1.5</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提供参加政府采购活动前3年内在经营活动中没有重大违法记录的书面声明；（提供《投标人资格声明函》）。</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1.6</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法律、法规规定其他条件。（提供《投标人资格声明函》）</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2</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为采购项目提供整体设计、规范编制或者项目管理、监理、检测等服务的供应商，不得再参加该采购项目同一合同项下的其他采购活动。（提供《投标人资格声明函》）</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3</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单位负责人为同一人或者存在直接控股、管理关系的不同供应商，不得参加同一合同项下的政府采购活动。（提供《投标人资格声明函》）</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4</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投标人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说明：①</w:t>
            </w:r>
            <w:r>
              <w:rPr>
                <w:rFonts w:hint="eastAsia" w:ascii="宋体" w:hAnsi="宋体" w:cs="宋体"/>
                <w:color w:val="auto"/>
                <w:highlight w:val="none"/>
                <w:lang w:eastAsia="zh-CN"/>
              </w:rPr>
              <w:t>以采购人、采购代理机构于投标截止日在“信用中国”网站（www.creditchina.gov.cn）及中国政府采购网(www.ccgp.gov.cn)查询结果为准</w:t>
            </w:r>
            <w:r>
              <w:rPr>
                <w:rFonts w:hint="eastAsia" w:ascii="宋体" w:hAnsi="宋体" w:cs="宋体"/>
                <w:color w:val="auto"/>
                <w:highlight w:val="none"/>
              </w:rPr>
              <w:t>，如在上述网站查询结果均显示没有相关记录，视为不存在上述不良信用记录。②采购代理机构同时对信用信息查询记录和证据截图或下载存档；③投标人为分支机构或联合体有成员为分支机构的，同时对该分支机构所属总公司（总所）进行信用记录查询，该分支机构所属总公司（总所）存在不良信用记录的，视同供应商存在不良信用记录。）</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5</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成功购买招标文件的供应商。</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6</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本项目不接受联合体投标；</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 w:type="pct"/>
            <w:tcBorders>
              <w:tl2br w:val="nil"/>
              <w:tr2bl w:val="nil"/>
            </w:tcBorders>
            <w:vAlign w:val="center"/>
          </w:tcPr>
          <w:p>
            <w:pPr>
              <w:tabs>
                <w:tab w:val="left" w:pos="176"/>
                <w:tab w:val="left" w:pos="612"/>
              </w:tabs>
              <w:jc w:val="center"/>
              <w:rPr>
                <w:rFonts w:ascii="宋体" w:hAnsi="宋体" w:cs="宋体"/>
                <w:color w:val="auto"/>
                <w:highlight w:val="none"/>
              </w:rPr>
            </w:pPr>
            <w:r>
              <w:rPr>
                <w:rFonts w:hint="eastAsia" w:ascii="宋体" w:hAnsi="宋体" w:cs="宋体"/>
                <w:color w:val="auto"/>
                <w:highlight w:val="none"/>
              </w:rPr>
              <w:t>7</w:t>
            </w:r>
          </w:p>
        </w:tc>
        <w:tc>
          <w:tcPr>
            <w:tcW w:w="3216" w:type="pct"/>
            <w:tcBorders>
              <w:tl2br w:val="nil"/>
              <w:tr2bl w:val="nil"/>
            </w:tcBorders>
            <w:vAlign w:val="center"/>
          </w:tcPr>
          <w:p>
            <w:pPr>
              <w:tabs>
                <w:tab w:val="left" w:pos="612"/>
              </w:tabs>
              <w:rPr>
                <w:rFonts w:ascii="宋体" w:hAnsi="宋体" w:cs="宋体"/>
                <w:color w:val="auto"/>
                <w:highlight w:val="none"/>
              </w:rPr>
            </w:pPr>
            <w:r>
              <w:rPr>
                <w:rFonts w:hint="eastAsia" w:ascii="宋体" w:hAnsi="宋体" w:cs="宋体"/>
                <w:color w:val="auto"/>
                <w:highlight w:val="none"/>
              </w:rPr>
              <w:t>投标人资格声明函已提交并符合招标文件要求的。</w:t>
            </w:r>
          </w:p>
        </w:tc>
        <w:tc>
          <w:tcPr>
            <w:tcW w:w="767" w:type="pct"/>
            <w:tcBorders>
              <w:tl2br w:val="nil"/>
              <w:tr2bl w:val="nil"/>
            </w:tcBorders>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highlight w:val="none"/>
              </w:rPr>
            </w:pPr>
            <w:r>
              <w:rPr>
                <w:rFonts w:hint="eastAsia" w:ascii="宋体" w:hAnsi="宋体" w:cs="宋体"/>
                <w:color w:val="auto"/>
                <w:szCs w:val="21"/>
                <w:highlight w:val="none"/>
              </w:rPr>
              <w:t>□不通过</w:t>
            </w:r>
          </w:p>
        </w:tc>
        <w:tc>
          <w:tcPr>
            <w:tcW w:w="683" w:type="pct"/>
            <w:tcBorders>
              <w:tl2br w:val="nil"/>
              <w:tr2bl w:val="nil"/>
            </w:tcBorders>
            <w:vAlign w:val="center"/>
          </w:tcPr>
          <w:p>
            <w:pPr>
              <w:adjustRightInd w:val="0"/>
              <w:snapToGrid w:val="0"/>
              <w:jc w:val="center"/>
              <w:rPr>
                <w:rFonts w:ascii="宋体" w:hAnsi="宋体" w:cs="宋体"/>
                <w:color w:val="auto"/>
                <w:highlight w:val="none"/>
              </w:rPr>
            </w:pPr>
            <w:r>
              <w:rPr>
                <w:rFonts w:hint="eastAsia" w:ascii="宋体" w:hAnsi="宋体" w:cs="宋体"/>
                <w:color w:val="auto"/>
                <w:szCs w:val="21"/>
                <w:highlight w:val="none"/>
              </w:rPr>
              <w:t>第（ ）页</w:t>
            </w:r>
          </w:p>
        </w:tc>
      </w:tr>
    </w:tbl>
    <w:p>
      <w:pPr>
        <w:rPr>
          <w:rFonts w:ascii="宋体" w:hAnsi="宋体" w:cs="宋体"/>
          <w:color w:val="auto"/>
          <w:highlight w:val="none"/>
        </w:rPr>
      </w:pPr>
    </w:p>
    <w:p>
      <w:pPr>
        <w:adjustRightInd w:val="0"/>
        <w:snapToGrid w:val="0"/>
        <w:spacing w:beforeLines="50" w:afterLines="50"/>
        <w:jc w:val="center"/>
        <w:outlineLvl w:val="2"/>
        <w:rPr>
          <w:rFonts w:ascii="宋体" w:hAnsi="宋体" w:cs="宋体"/>
          <w:b/>
          <w:color w:val="auto"/>
          <w:sz w:val="30"/>
          <w:szCs w:val="30"/>
          <w:highlight w:val="none"/>
        </w:rPr>
      </w:pPr>
      <w:bookmarkStart w:id="156" w:name="_Toc10909"/>
      <w:r>
        <w:rPr>
          <w:rFonts w:hint="eastAsia" w:ascii="宋体" w:hAnsi="宋体" w:cs="宋体"/>
          <w:b/>
          <w:color w:val="auto"/>
          <w:sz w:val="30"/>
          <w:szCs w:val="30"/>
          <w:highlight w:val="none"/>
        </w:rPr>
        <w:t>符合性自查表</w:t>
      </w:r>
      <w:bookmarkEnd w:id="156"/>
    </w:p>
    <w:bookmarkEnd w:id="154"/>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0" w:type="dxa"/>
          <w:left w:w="150" w:type="dxa"/>
          <w:bottom w:w="150" w:type="dxa"/>
          <w:right w:w="150" w:type="dxa"/>
        </w:tblCellMar>
      </w:tblPr>
      <w:tblGrid>
        <w:gridCol w:w="854"/>
        <w:gridCol w:w="5619"/>
        <w:gridCol w:w="1581"/>
        <w:gridCol w:w="1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41" w:hRule="atLeast"/>
          <w:jc w:val="center"/>
        </w:trPr>
        <w:tc>
          <w:tcPr>
            <w:tcW w:w="456" w:type="pct"/>
            <w:vAlign w:val="center"/>
          </w:tcPr>
          <w:p>
            <w:pPr>
              <w:adjustRightInd w:val="0"/>
              <w:snapToGrid w:val="0"/>
              <w:jc w:val="center"/>
              <w:rPr>
                <w:rStyle w:val="43"/>
                <w:rFonts w:ascii="宋体" w:hAnsi="宋体" w:cs="宋体"/>
                <w:color w:val="auto"/>
                <w:szCs w:val="21"/>
                <w:highlight w:val="none"/>
              </w:rPr>
            </w:pPr>
            <w:bookmarkStart w:id="157" w:name="_Toc435514865"/>
            <w:bookmarkStart w:id="158" w:name="_Toc435515305"/>
            <w:r>
              <w:rPr>
                <w:rFonts w:hint="eastAsia" w:ascii="宋体" w:hAnsi="宋体" w:cs="宋体"/>
                <w:b/>
                <w:color w:val="auto"/>
                <w:szCs w:val="21"/>
                <w:highlight w:val="none"/>
              </w:rPr>
              <w:t>序号</w:t>
            </w:r>
          </w:p>
        </w:tc>
        <w:tc>
          <w:tcPr>
            <w:tcW w:w="2999" w:type="pct"/>
            <w:vAlign w:val="center"/>
          </w:tcPr>
          <w:p>
            <w:pPr>
              <w:adjustRightInd w:val="0"/>
              <w:snapToGrid w:val="0"/>
              <w:jc w:val="center"/>
              <w:rPr>
                <w:rFonts w:ascii="宋体" w:hAnsi="宋体" w:cs="宋体"/>
                <w:color w:val="auto"/>
                <w:szCs w:val="21"/>
                <w:highlight w:val="none"/>
              </w:rPr>
            </w:pPr>
            <w:r>
              <w:rPr>
                <w:rStyle w:val="43"/>
                <w:rFonts w:hint="eastAsia" w:ascii="宋体" w:hAnsi="宋体" w:cs="宋体"/>
                <w:color w:val="auto"/>
                <w:szCs w:val="21"/>
                <w:highlight w:val="none"/>
              </w:rPr>
              <w:t>招标文件要求</w:t>
            </w:r>
          </w:p>
        </w:tc>
        <w:tc>
          <w:tcPr>
            <w:tcW w:w="844" w:type="pct"/>
            <w:vAlign w:val="center"/>
          </w:tcPr>
          <w:p>
            <w:pPr>
              <w:adjustRightInd w:val="0"/>
              <w:snapToGrid w:val="0"/>
              <w:jc w:val="center"/>
              <w:rPr>
                <w:rFonts w:ascii="宋体" w:hAnsi="宋体" w:cs="宋体"/>
                <w:color w:val="auto"/>
                <w:szCs w:val="21"/>
                <w:highlight w:val="none"/>
              </w:rPr>
            </w:pPr>
            <w:r>
              <w:rPr>
                <w:rStyle w:val="43"/>
                <w:rFonts w:hint="eastAsia" w:ascii="宋体" w:hAnsi="宋体" w:cs="宋体"/>
                <w:color w:val="auto"/>
                <w:szCs w:val="21"/>
                <w:highlight w:val="none"/>
              </w:rPr>
              <w:t>自查结论</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b/>
                <w:color w:val="auto"/>
                <w:szCs w:val="21"/>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0"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tabs>
                <w:tab w:val="left" w:pos="612"/>
              </w:tabs>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按照招标文件规定要求签署、盖章且投标文件有法定代表人签字或盖个人名章（或签字人有法定代表人有效授权书）的；</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04"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tabs>
                <w:tab w:val="left" w:pos="612"/>
              </w:tabs>
              <w:rPr>
                <w:rFonts w:ascii="宋体" w:hAnsi="宋体" w:cs="宋体"/>
                <w:color w:val="auto"/>
                <w:highlight w:val="none"/>
              </w:rPr>
            </w:pPr>
            <w:r>
              <w:rPr>
                <w:rFonts w:hint="eastAsia" w:ascii="宋体" w:hAnsi="宋体" w:cs="宋体"/>
                <w:color w:val="auto"/>
                <w:highlight w:val="none"/>
              </w:rPr>
              <w:t>投标函已提交并符合招标文件要求的，且投标有效期不少于招标文件中载明的投标有效期；</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95"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tabs>
                <w:tab w:val="left" w:pos="612"/>
              </w:tabs>
              <w:rPr>
                <w:rFonts w:ascii="宋体" w:hAnsi="宋体" w:cs="宋体"/>
                <w:color w:val="auto"/>
                <w:highlight w:val="none"/>
              </w:rPr>
            </w:pPr>
            <w:r>
              <w:rPr>
                <w:rFonts w:hint="eastAsia" w:ascii="宋体" w:hAnsi="宋体" w:cs="宋体"/>
                <w:color w:val="auto"/>
                <w:highlight w:val="none"/>
              </w:rPr>
              <w:t>投标报价按照招标文件要求进行报价，报价未超过</w:t>
            </w:r>
            <w:r>
              <w:rPr>
                <w:rFonts w:hint="eastAsia" w:ascii="宋体" w:hAnsi="宋体" w:cs="宋体"/>
                <w:color w:val="auto"/>
                <w:kern w:val="0"/>
                <w:highlight w:val="none"/>
              </w:rPr>
              <w:t>本项目</w:t>
            </w:r>
            <w:r>
              <w:rPr>
                <w:rFonts w:hint="eastAsia" w:ascii="宋体" w:hAnsi="宋体" w:cs="宋体"/>
                <w:color w:val="auto"/>
                <w:highlight w:val="none"/>
              </w:rPr>
              <w:t>的最高限价的；</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2"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ind w:left="315" w:hanging="315" w:hangingChars="150"/>
              <w:jc w:val="left"/>
              <w:rPr>
                <w:rFonts w:ascii="宋体" w:hAnsi="宋体" w:cs="宋体"/>
                <w:color w:val="auto"/>
                <w:kern w:val="0"/>
                <w:szCs w:val="21"/>
                <w:highlight w:val="none"/>
              </w:rPr>
            </w:pPr>
            <w:r>
              <w:rPr>
                <w:rFonts w:hint="eastAsia" w:ascii="宋体" w:hAnsi="宋体" w:cs="宋体"/>
                <w:color w:val="auto"/>
                <w:highlight w:val="none"/>
              </w:rPr>
              <w:t>投标文件未出现选择性报价或有附加条件报价的情形；</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25"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b w:val="0"/>
                <w:bCs w:val="0"/>
                <w:color w:val="auto"/>
                <w:szCs w:val="21"/>
                <w:highlight w:val="none"/>
              </w:rPr>
            </w:pPr>
          </w:p>
        </w:tc>
        <w:tc>
          <w:tcPr>
            <w:tcW w:w="2999" w:type="pct"/>
            <w:vAlign w:val="center"/>
          </w:tcPr>
          <w:p>
            <w:pPr>
              <w:jc w:val="left"/>
              <w:rPr>
                <w:rFonts w:ascii="宋体" w:hAnsi="宋体" w:cs="宋体"/>
                <w:b w:val="0"/>
                <w:bCs w:val="0"/>
                <w:color w:val="auto"/>
                <w:szCs w:val="21"/>
                <w:highlight w:val="none"/>
              </w:rPr>
            </w:pPr>
            <w:r>
              <w:rPr>
                <w:rFonts w:hint="eastAsia" w:ascii="宋体" w:hAnsi="宋体" w:cs="宋体"/>
                <w:b w:val="0"/>
                <w:bCs w:val="0"/>
                <w:color w:val="auto"/>
                <w:szCs w:val="20"/>
                <w:highlight w:val="none"/>
              </w:rPr>
              <w:t>投标文件完全满足招标文件的实质性条款（即标注★号条款）无负偏离的；</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35"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投标文件没有采购人不能接受的附加条件的；</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20"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rPr>
                <w:rFonts w:ascii="宋体" w:hAnsi="宋体" w:cs="宋体"/>
                <w:color w:val="auto"/>
                <w:szCs w:val="21"/>
                <w:highlight w:val="none"/>
              </w:rPr>
            </w:pPr>
            <w:r>
              <w:rPr>
                <w:rFonts w:hint="eastAsia" w:ascii="宋体" w:hAnsi="宋体" w:cs="宋体"/>
                <w:color w:val="auto"/>
                <w:highlight w:val="none"/>
              </w:rPr>
              <w:t>投标文件没有招标文件中规定的其他无效投标条款的；</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strike/>
                <w:color w:val="auto"/>
                <w:szCs w:val="21"/>
                <w:highlight w:val="none"/>
              </w:rPr>
            </w:pP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59" w:hRule="atLeast"/>
          <w:jc w:val="center"/>
        </w:trPr>
        <w:tc>
          <w:tcPr>
            <w:tcW w:w="456" w:type="pct"/>
            <w:vAlign w:val="center"/>
          </w:tcPr>
          <w:p>
            <w:pPr>
              <w:pStyle w:val="81"/>
              <w:numPr>
                <w:ilvl w:val="0"/>
                <w:numId w:val="45"/>
              </w:numPr>
              <w:adjustRightInd w:val="0"/>
              <w:snapToGrid w:val="0"/>
              <w:ind w:firstLineChars="0"/>
              <w:jc w:val="center"/>
              <w:rPr>
                <w:rFonts w:ascii="宋体" w:hAnsi="宋体" w:cs="宋体"/>
                <w:color w:val="auto"/>
                <w:szCs w:val="21"/>
                <w:highlight w:val="none"/>
              </w:rPr>
            </w:pPr>
          </w:p>
        </w:tc>
        <w:tc>
          <w:tcPr>
            <w:tcW w:w="2999" w:type="pct"/>
            <w:vAlign w:val="center"/>
          </w:tcPr>
          <w:p>
            <w:pPr>
              <w:rPr>
                <w:rFonts w:ascii="宋体" w:hAnsi="宋体" w:cs="宋体"/>
                <w:color w:val="auto"/>
                <w:szCs w:val="21"/>
                <w:highlight w:val="none"/>
              </w:rPr>
            </w:pPr>
            <w:r>
              <w:rPr>
                <w:rFonts w:hint="eastAsia" w:ascii="宋体" w:hAnsi="宋体" w:cs="宋体"/>
                <w:color w:val="auto"/>
                <w:szCs w:val="21"/>
                <w:highlight w:val="none"/>
              </w:rPr>
              <w:t>按有关法律、法规、规章不属于投标无效的。</w:t>
            </w:r>
          </w:p>
        </w:tc>
        <w:tc>
          <w:tcPr>
            <w:tcW w:w="844" w:type="pct"/>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700" w:type="pct"/>
            <w:vAlign w:val="center"/>
          </w:tcPr>
          <w:p>
            <w:pPr>
              <w:adjustRightInd w:val="0"/>
              <w:snapToGrid w:val="0"/>
              <w:jc w:val="center"/>
              <w:rPr>
                <w:rFonts w:ascii="宋体" w:hAnsi="宋体" w:cs="宋体"/>
                <w:strike/>
                <w:color w:val="auto"/>
                <w:szCs w:val="21"/>
                <w:highlight w:val="none"/>
              </w:rPr>
            </w:pPr>
            <w:r>
              <w:rPr>
                <w:rFonts w:hint="eastAsia" w:ascii="宋体" w:hAnsi="宋体" w:cs="宋体"/>
                <w:color w:val="auto"/>
                <w:sz w:val="24"/>
                <w:highlight w:val="none"/>
              </w:rPr>
              <w:t>/</w:t>
            </w:r>
          </w:p>
        </w:tc>
      </w:tr>
    </w:tbl>
    <w:p>
      <w:pPr>
        <w:tabs>
          <w:tab w:val="left" w:pos="7367"/>
        </w:tabs>
        <w:adjustRightInd w:val="0"/>
        <w:snapToGrid w:val="0"/>
        <w:spacing w:line="360" w:lineRule="auto"/>
        <w:rPr>
          <w:rFonts w:ascii="宋体" w:hAnsi="宋体" w:cs="宋体"/>
          <w:b/>
          <w:color w:val="auto"/>
          <w:szCs w:val="21"/>
          <w:highlight w:val="none"/>
        </w:rPr>
      </w:pPr>
    </w:p>
    <w:p>
      <w:pPr>
        <w:adjustRightInd w:val="0"/>
        <w:snapToGrid w:val="0"/>
        <w:jc w:val="center"/>
        <w:outlineLvl w:val="2"/>
        <w:rPr>
          <w:rFonts w:ascii="宋体" w:hAnsi="宋体" w:cs="宋体"/>
          <w:b/>
          <w:color w:val="auto"/>
          <w:szCs w:val="21"/>
          <w:highlight w:val="none"/>
        </w:rPr>
      </w:pPr>
      <w:bookmarkStart w:id="159" w:name="_Toc28123"/>
      <w:r>
        <w:rPr>
          <w:rFonts w:hint="eastAsia" w:ascii="宋体" w:hAnsi="宋体" w:cs="宋体"/>
          <w:b/>
          <w:color w:val="auto"/>
          <w:sz w:val="30"/>
          <w:szCs w:val="30"/>
          <w:highlight w:val="none"/>
        </w:rPr>
        <w:t>综合评分表</w:t>
      </w:r>
      <w:bookmarkEnd w:id="159"/>
    </w:p>
    <w:bookmarkEnd w:id="151"/>
    <w:p>
      <w:pPr>
        <w:rPr>
          <w:rFonts w:ascii="宋体" w:hAnsi="宋体" w:cs="宋体"/>
          <w:color w:val="auto"/>
          <w:highlight w:val="none"/>
        </w:rPr>
      </w:pP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1683"/>
        <w:gridCol w:w="4605"/>
        <w:gridCol w:w="2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00" w:type="pct"/>
            <w:gridSpan w:val="4"/>
            <w:vAlign w:val="center"/>
          </w:tcPr>
          <w:p>
            <w:pPr>
              <w:adjustRightInd w:val="0"/>
              <w:snapToGrid w:val="0"/>
              <w:jc w:val="center"/>
              <w:rPr>
                <w:rFonts w:ascii="宋体" w:hAnsi="宋体" w:cs="宋体"/>
                <w:b/>
                <w:color w:val="auto"/>
                <w:sz w:val="22"/>
                <w:szCs w:val="22"/>
                <w:highlight w:val="none"/>
              </w:rPr>
            </w:pPr>
            <w:r>
              <w:rPr>
                <w:rFonts w:hint="eastAsia" w:ascii="宋体" w:hAnsi="宋体" w:cs="宋体"/>
                <w:b/>
                <w:color w:val="auto"/>
                <w:sz w:val="22"/>
                <w:szCs w:val="22"/>
                <w:highlight w:val="none"/>
              </w:rPr>
              <w:t>技术评审自查表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adjustRightInd w:val="0"/>
              <w:snapToGrid w:val="0"/>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906" w:type="pct"/>
            <w:vAlign w:val="center"/>
          </w:tcPr>
          <w:p>
            <w:pPr>
              <w:adjustRightInd w:val="0"/>
              <w:snapToGrid w:val="0"/>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2479" w:type="pct"/>
            <w:vAlign w:val="center"/>
          </w:tcPr>
          <w:p>
            <w:pPr>
              <w:adjustRightInd w:val="0"/>
              <w:snapToGrid w:val="0"/>
              <w:jc w:val="center"/>
              <w:rPr>
                <w:rFonts w:ascii="宋体" w:hAnsi="宋体" w:cs="宋体"/>
                <w:b/>
                <w:color w:val="auto"/>
                <w:sz w:val="22"/>
                <w:szCs w:val="22"/>
                <w:highlight w:val="none"/>
              </w:rPr>
            </w:pPr>
            <w:r>
              <w:rPr>
                <w:rFonts w:hint="eastAsia" w:ascii="宋体" w:hAnsi="宋体" w:cs="宋体"/>
                <w:b/>
                <w:color w:val="auto"/>
                <w:sz w:val="22"/>
                <w:szCs w:val="22"/>
                <w:highlight w:val="none"/>
              </w:rPr>
              <w:t>提交内容</w:t>
            </w:r>
          </w:p>
        </w:tc>
        <w:tc>
          <w:tcPr>
            <w:tcW w:w="1217" w:type="pct"/>
            <w:vAlign w:val="center"/>
          </w:tcPr>
          <w:p>
            <w:pPr>
              <w:adjustRightInd w:val="0"/>
              <w:snapToGrid w:val="0"/>
              <w:jc w:val="center"/>
              <w:rPr>
                <w:rFonts w:ascii="宋体" w:hAnsi="宋体" w:cs="宋体"/>
                <w:b/>
                <w:color w:val="auto"/>
                <w:sz w:val="22"/>
                <w:szCs w:val="22"/>
                <w:highlight w:val="none"/>
              </w:rPr>
            </w:pPr>
            <w:r>
              <w:rPr>
                <w:rFonts w:hint="eastAsia" w:ascii="宋体" w:hAnsi="宋体" w:cs="宋体"/>
                <w:b/>
                <w:color w:val="auto"/>
                <w:sz w:val="22"/>
                <w:szCs w:val="22"/>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397" w:type="pct"/>
            <w:vAlign w:val="center"/>
          </w:tcPr>
          <w:p>
            <w:pPr>
              <w:numPr>
                <w:ilvl w:val="0"/>
                <w:numId w:val="46"/>
              </w:numPr>
              <w:adjustRightInd w:val="0"/>
              <w:snapToGrid w:val="0"/>
              <w:rPr>
                <w:rFonts w:ascii="宋体" w:hAnsi="宋体" w:cs="宋体"/>
                <w:color w:val="auto"/>
                <w:sz w:val="22"/>
                <w:szCs w:val="22"/>
                <w:highlight w:val="none"/>
              </w:rPr>
            </w:pPr>
          </w:p>
        </w:tc>
        <w:tc>
          <w:tcPr>
            <w:tcW w:w="906" w:type="pct"/>
            <w:vAlign w:val="center"/>
          </w:tcPr>
          <w:p>
            <w:pPr>
              <w:jc w:val="center"/>
              <w:rPr>
                <w:rFonts w:ascii="宋体" w:hAnsi="宋体" w:cs="宋体"/>
                <w:bCs/>
                <w:color w:val="auto"/>
                <w:sz w:val="22"/>
                <w:szCs w:val="22"/>
                <w:highlight w:val="none"/>
              </w:rPr>
            </w:pPr>
          </w:p>
        </w:tc>
        <w:tc>
          <w:tcPr>
            <w:tcW w:w="2479" w:type="pct"/>
            <w:vAlign w:val="center"/>
          </w:tcPr>
          <w:p>
            <w:pPr>
              <w:jc w:val="left"/>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6"/>
              </w:numPr>
              <w:adjustRightInd w:val="0"/>
              <w:snapToGrid w:val="0"/>
              <w:rPr>
                <w:rFonts w:ascii="宋体" w:hAnsi="宋体" w:cs="宋体"/>
                <w:color w:val="auto"/>
                <w:sz w:val="22"/>
                <w:szCs w:val="22"/>
                <w:highlight w:val="none"/>
              </w:rPr>
            </w:pPr>
          </w:p>
        </w:tc>
        <w:tc>
          <w:tcPr>
            <w:tcW w:w="906" w:type="pct"/>
            <w:vAlign w:val="center"/>
          </w:tcPr>
          <w:p>
            <w:pPr>
              <w:jc w:val="center"/>
              <w:rPr>
                <w:rFonts w:ascii="宋体" w:hAnsi="宋体" w:cs="宋体"/>
                <w:bCs/>
                <w:color w:val="auto"/>
                <w:sz w:val="22"/>
                <w:szCs w:val="22"/>
                <w:highlight w:val="none"/>
              </w:rPr>
            </w:pPr>
          </w:p>
        </w:tc>
        <w:tc>
          <w:tcPr>
            <w:tcW w:w="2479" w:type="pct"/>
            <w:vAlign w:val="center"/>
          </w:tcPr>
          <w:p>
            <w:pPr>
              <w:widowControl/>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6"/>
              </w:numPr>
              <w:adjustRightInd w:val="0"/>
              <w:snapToGrid w:val="0"/>
              <w:rPr>
                <w:rFonts w:ascii="宋体" w:hAnsi="宋体" w:cs="宋体"/>
                <w:color w:val="auto"/>
                <w:sz w:val="22"/>
                <w:szCs w:val="22"/>
                <w:highlight w:val="none"/>
              </w:rPr>
            </w:pPr>
          </w:p>
        </w:tc>
        <w:tc>
          <w:tcPr>
            <w:tcW w:w="906" w:type="pct"/>
            <w:vAlign w:val="center"/>
          </w:tcPr>
          <w:p>
            <w:pPr>
              <w:jc w:val="center"/>
              <w:rPr>
                <w:rFonts w:ascii="宋体" w:hAnsi="宋体" w:cs="宋体"/>
                <w:bCs/>
                <w:color w:val="auto"/>
                <w:sz w:val="22"/>
                <w:szCs w:val="22"/>
                <w:highlight w:val="none"/>
              </w:rPr>
            </w:pPr>
          </w:p>
        </w:tc>
        <w:tc>
          <w:tcPr>
            <w:tcW w:w="2479" w:type="pct"/>
            <w:vAlign w:val="center"/>
          </w:tcPr>
          <w:p>
            <w:pPr>
              <w:widowControl/>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6"/>
              </w:numPr>
              <w:adjustRightInd w:val="0"/>
              <w:snapToGrid w:val="0"/>
              <w:rPr>
                <w:rFonts w:ascii="宋体" w:hAnsi="宋体" w:cs="宋体"/>
                <w:color w:val="auto"/>
                <w:sz w:val="22"/>
                <w:szCs w:val="22"/>
                <w:highlight w:val="none"/>
              </w:rPr>
            </w:pPr>
          </w:p>
        </w:tc>
        <w:tc>
          <w:tcPr>
            <w:tcW w:w="906" w:type="pct"/>
            <w:vAlign w:val="center"/>
          </w:tcPr>
          <w:p>
            <w:pPr>
              <w:jc w:val="center"/>
              <w:rPr>
                <w:rFonts w:ascii="宋体" w:hAnsi="宋体" w:cs="宋体"/>
                <w:bCs/>
                <w:color w:val="auto"/>
                <w:sz w:val="22"/>
                <w:szCs w:val="22"/>
                <w:highlight w:val="none"/>
              </w:rPr>
            </w:pPr>
          </w:p>
        </w:tc>
        <w:tc>
          <w:tcPr>
            <w:tcW w:w="2479" w:type="pct"/>
            <w:vAlign w:val="center"/>
          </w:tcPr>
          <w:p>
            <w:pPr>
              <w:widowControl/>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397" w:type="pct"/>
            <w:vAlign w:val="center"/>
          </w:tcPr>
          <w:p>
            <w:pPr>
              <w:adjustRightInd w:val="0"/>
              <w:snapToGrid w:val="0"/>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906" w:type="pct"/>
            <w:vAlign w:val="center"/>
          </w:tcPr>
          <w:p>
            <w:pPr>
              <w:ind w:left="-63" w:leftChars="-30" w:right="-88" w:rightChars="-42"/>
              <w:jc w:val="center"/>
              <w:rPr>
                <w:rFonts w:ascii="宋体" w:hAnsi="宋体" w:cs="宋体"/>
                <w:bCs/>
                <w:color w:val="auto"/>
                <w:sz w:val="22"/>
                <w:szCs w:val="22"/>
                <w:highlight w:val="none"/>
              </w:rPr>
            </w:pPr>
          </w:p>
        </w:tc>
        <w:tc>
          <w:tcPr>
            <w:tcW w:w="2479" w:type="pct"/>
            <w:vAlign w:val="center"/>
          </w:tcPr>
          <w:p>
            <w:pPr>
              <w:ind w:left="-63" w:leftChars="-30" w:right="-88" w:rightChars="-42" w:firstLine="77" w:firstLineChars="35"/>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000" w:type="pct"/>
            <w:gridSpan w:val="4"/>
            <w:vAlign w:val="center"/>
          </w:tcPr>
          <w:p>
            <w:pPr>
              <w:adjustRightInd w:val="0"/>
              <w:snapToGrid w:val="0"/>
              <w:jc w:val="center"/>
              <w:rPr>
                <w:rFonts w:ascii="宋体" w:hAnsi="宋体" w:cs="宋体"/>
                <w:color w:val="auto"/>
                <w:sz w:val="22"/>
                <w:szCs w:val="22"/>
                <w:highlight w:val="none"/>
              </w:rPr>
            </w:pPr>
            <w:r>
              <w:rPr>
                <w:rFonts w:hint="eastAsia" w:ascii="宋体" w:hAnsi="宋体" w:cs="宋体"/>
                <w:b/>
                <w:color w:val="auto"/>
                <w:sz w:val="22"/>
                <w:szCs w:val="22"/>
                <w:highlight w:val="none"/>
              </w:rPr>
              <w:t>商务评审自查表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7"/>
              </w:numPr>
              <w:adjustRightInd w:val="0"/>
              <w:snapToGrid w:val="0"/>
              <w:rPr>
                <w:rFonts w:ascii="宋体" w:hAnsi="宋体" w:cs="宋体"/>
                <w:color w:val="auto"/>
                <w:sz w:val="22"/>
                <w:szCs w:val="22"/>
                <w:highlight w:val="none"/>
              </w:rPr>
            </w:pPr>
          </w:p>
        </w:tc>
        <w:tc>
          <w:tcPr>
            <w:tcW w:w="906" w:type="pct"/>
            <w:vAlign w:val="center"/>
          </w:tcPr>
          <w:p>
            <w:pPr>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2479" w:type="pct"/>
            <w:vAlign w:val="center"/>
          </w:tcPr>
          <w:p>
            <w:pPr>
              <w:ind w:right="-88" w:rightChars="-42"/>
              <w:jc w:val="left"/>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7"/>
              </w:numPr>
              <w:adjustRightInd w:val="0"/>
              <w:snapToGrid w:val="0"/>
              <w:rPr>
                <w:rFonts w:ascii="宋体" w:hAnsi="宋体" w:cs="宋体"/>
                <w:color w:val="auto"/>
                <w:sz w:val="22"/>
                <w:szCs w:val="22"/>
                <w:highlight w:val="none"/>
              </w:rPr>
            </w:pPr>
          </w:p>
        </w:tc>
        <w:tc>
          <w:tcPr>
            <w:tcW w:w="906" w:type="pct"/>
            <w:vAlign w:val="center"/>
          </w:tcPr>
          <w:p>
            <w:pPr>
              <w:jc w:val="center"/>
              <w:rPr>
                <w:rFonts w:ascii="宋体" w:hAnsi="宋体" w:cs="宋体"/>
                <w:color w:val="auto"/>
                <w:sz w:val="22"/>
                <w:szCs w:val="22"/>
                <w:highlight w:val="none"/>
              </w:rPr>
            </w:pPr>
          </w:p>
        </w:tc>
        <w:tc>
          <w:tcPr>
            <w:tcW w:w="2479" w:type="pct"/>
            <w:vAlign w:val="center"/>
          </w:tcPr>
          <w:p>
            <w:pPr>
              <w:ind w:left="-63" w:leftChars="-30" w:right="-88" w:rightChars="-42"/>
              <w:jc w:val="left"/>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7"/>
              </w:numPr>
              <w:adjustRightInd w:val="0"/>
              <w:snapToGrid w:val="0"/>
              <w:rPr>
                <w:rFonts w:ascii="宋体" w:hAnsi="宋体" w:cs="宋体"/>
                <w:color w:val="auto"/>
                <w:sz w:val="22"/>
                <w:szCs w:val="22"/>
                <w:highlight w:val="none"/>
              </w:rPr>
            </w:pPr>
          </w:p>
        </w:tc>
        <w:tc>
          <w:tcPr>
            <w:tcW w:w="906" w:type="pct"/>
            <w:vAlign w:val="center"/>
          </w:tcPr>
          <w:p>
            <w:pPr>
              <w:jc w:val="center"/>
              <w:rPr>
                <w:rFonts w:ascii="宋体" w:hAnsi="宋体" w:cs="宋体"/>
                <w:color w:val="auto"/>
                <w:sz w:val="22"/>
                <w:szCs w:val="22"/>
                <w:highlight w:val="none"/>
              </w:rPr>
            </w:pPr>
          </w:p>
        </w:tc>
        <w:tc>
          <w:tcPr>
            <w:tcW w:w="2479" w:type="pct"/>
            <w:vAlign w:val="center"/>
          </w:tcPr>
          <w:p>
            <w:pPr>
              <w:ind w:left="-78" w:leftChars="-37" w:right="-73" w:rightChars="-35"/>
              <w:jc w:val="left"/>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adjustRightInd w:val="0"/>
              <w:snapToGrid w:val="0"/>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906" w:type="pct"/>
            <w:vAlign w:val="center"/>
          </w:tcPr>
          <w:p>
            <w:pPr>
              <w:ind w:left="-63" w:leftChars="-30" w:right="-88" w:rightChars="-42"/>
              <w:jc w:val="center"/>
              <w:rPr>
                <w:rFonts w:ascii="宋体" w:hAnsi="宋体" w:cs="宋体"/>
                <w:color w:val="auto"/>
                <w:sz w:val="22"/>
                <w:szCs w:val="22"/>
                <w:highlight w:val="none"/>
              </w:rPr>
            </w:pPr>
          </w:p>
        </w:tc>
        <w:tc>
          <w:tcPr>
            <w:tcW w:w="2479" w:type="pct"/>
            <w:vAlign w:val="center"/>
          </w:tcPr>
          <w:p>
            <w:pPr>
              <w:ind w:left="-78" w:leftChars="-37" w:right="-73" w:rightChars="-35"/>
              <w:jc w:val="left"/>
              <w:rPr>
                <w:rFonts w:ascii="宋体" w:hAnsi="宋体" w:cs="宋体"/>
                <w:color w:val="auto"/>
                <w:sz w:val="22"/>
                <w:szCs w:val="22"/>
                <w:highlight w:val="none"/>
              </w:rPr>
            </w:pP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000" w:type="pct"/>
            <w:gridSpan w:val="4"/>
            <w:vAlign w:val="center"/>
          </w:tcPr>
          <w:p>
            <w:pPr>
              <w:adjustRightInd w:val="0"/>
              <w:snapToGrid w:val="0"/>
              <w:jc w:val="center"/>
              <w:rPr>
                <w:rFonts w:ascii="宋体" w:hAnsi="宋体" w:cs="宋体"/>
                <w:b/>
                <w:color w:val="auto"/>
                <w:sz w:val="22"/>
                <w:szCs w:val="22"/>
                <w:highlight w:val="none"/>
              </w:rPr>
            </w:pPr>
            <w:r>
              <w:rPr>
                <w:rFonts w:hint="eastAsia" w:ascii="宋体" w:hAnsi="宋体" w:cs="宋体"/>
                <w:b/>
                <w:color w:val="auto"/>
                <w:sz w:val="22"/>
                <w:szCs w:val="22"/>
                <w:highlight w:val="none"/>
              </w:rPr>
              <w:t>其他内容资料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8"/>
              </w:numPr>
              <w:adjustRightInd w:val="0"/>
              <w:snapToGrid w:val="0"/>
              <w:rPr>
                <w:rFonts w:ascii="宋体" w:hAnsi="宋体" w:cs="宋体"/>
                <w:color w:val="auto"/>
                <w:sz w:val="22"/>
                <w:szCs w:val="22"/>
                <w:highlight w:val="none"/>
              </w:rPr>
            </w:pPr>
          </w:p>
        </w:tc>
        <w:tc>
          <w:tcPr>
            <w:tcW w:w="3385" w:type="pct"/>
            <w:gridSpan w:val="2"/>
            <w:vAlign w:val="center"/>
          </w:tcPr>
          <w:p>
            <w:pPr>
              <w:adjustRightInd w:val="0"/>
              <w:snapToGrid w:val="0"/>
              <w:rPr>
                <w:rFonts w:ascii="宋体" w:hAnsi="宋体" w:cs="宋体"/>
                <w:color w:val="auto"/>
                <w:kern w:val="0"/>
                <w:sz w:val="22"/>
                <w:szCs w:val="22"/>
                <w:highlight w:val="none"/>
              </w:rPr>
            </w:pPr>
            <w:r>
              <w:rPr>
                <w:rFonts w:hint="eastAsia" w:ascii="宋体" w:hAnsi="宋体" w:cs="宋体"/>
                <w:color w:val="auto"/>
                <w:sz w:val="22"/>
                <w:szCs w:val="22"/>
                <w:highlight w:val="none"/>
              </w:rPr>
              <w:t>投标人基本情况表</w:t>
            </w: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8"/>
              </w:numPr>
              <w:adjustRightInd w:val="0"/>
              <w:snapToGrid w:val="0"/>
              <w:rPr>
                <w:rFonts w:ascii="宋体" w:hAnsi="宋体" w:cs="宋体"/>
                <w:color w:val="auto"/>
                <w:sz w:val="22"/>
                <w:szCs w:val="22"/>
                <w:highlight w:val="none"/>
              </w:rPr>
            </w:pPr>
          </w:p>
        </w:tc>
        <w:tc>
          <w:tcPr>
            <w:tcW w:w="3385" w:type="pct"/>
            <w:gridSpan w:val="2"/>
            <w:vAlign w:val="center"/>
          </w:tcPr>
          <w:p>
            <w:pPr>
              <w:adjustRightInd w:val="0"/>
              <w:snapToGrid w:val="0"/>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采购代理服务费承诺书</w:t>
            </w: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97" w:type="pct"/>
            <w:vAlign w:val="center"/>
          </w:tcPr>
          <w:p>
            <w:pPr>
              <w:numPr>
                <w:ilvl w:val="0"/>
                <w:numId w:val="48"/>
              </w:numPr>
              <w:adjustRightInd w:val="0"/>
              <w:snapToGrid w:val="0"/>
              <w:rPr>
                <w:rFonts w:ascii="宋体" w:hAnsi="宋体" w:cs="宋体"/>
                <w:color w:val="auto"/>
                <w:sz w:val="22"/>
                <w:szCs w:val="22"/>
                <w:highlight w:val="none"/>
              </w:rPr>
            </w:pPr>
          </w:p>
        </w:tc>
        <w:tc>
          <w:tcPr>
            <w:tcW w:w="3385" w:type="pct"/>
            <w:gridSpan w:val="2"/>
            <w:vAlign w:val="center"/>
          </w:tcPr>
          <w:p>
            <w:pPr>
              <w:adjustRightInd w:val="0"/>
              <w:snapToGrid w:val="0"/>
              <w:rPr>
                <w:rFonts w:ascii="宋体" w:hAnsi="宋体" w:cs="宋体"/>
                <w:color w:val="auto"/>
                <w:sz w:val="22"/>
                <w:szCs w:val="22"/>
                <w:highlight w:val="none"/>
              </w:rPr>
            </w:pPr>
            <w:r>
              <w:rPr>
                <w:rFonts w:hint="eastAsia" w:ascii="宋体" w:hAnsi="宋体" w:cs="宋体"/>
                <w:color w:val="auto"/>
                <w:kern w:val="0"/>
                <w:sz w:val="22"/>
                <w:szCs w:val="22"/>
                <w:highlight w:val="none"/>
              </w:rPr>
              <w:t>开票资料说明函</w:t>
            </w: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397" w:type="pct"/>
            <w:vAlign w:val="center"/>
          </w:tcPr>
          <w:p>
            <w:pPr>
              <w:numPr>
                <w:ilvl w:val="0"/>
                <w:numId w:val="48"/>
              </w:numPr>
              <w:adjustRightInd w:val="0"/>
              <w:snapToGrid w:val="0"/>
              <w:rPr>
                <w:rFonts w:ascii="宋体" w:hAnsi="宋体" w:cs="宋体"/>
                <w:color w:val="auto"/>
                <w:sz w:val="22"/>
                <w:szCs w:val="22"/>
                <w:highlight w:val="none"/>
              </w:rPr>
            </w:pPr>
          </w:p>
        </w:tc>
        <w:tc>
          <w:tcPr>
            <w:tcW w:w="3385" w:type="pct"/>
            <w:gridSpan w:val="2"/>
            <w:vAlign w:val="center"/>
          </w:tcPr>
          <w:p>
            <w:pPr>
              <w:adjustRightInd w:val="0"/>
              <w:snapToGrid w:val="0"/>
              <w:rPr>
                <w:rFonts w:ascii="宋体" w:hAnsi="宋体" w:cs="宋体"/>
                <w:color w:val="auto"/>
                <w:kern w:val="0"/>
                <w:sz w:val="22"/>
                <w:szCs w:val="22"/>
                <w:highlight w:val="none"/>
              </w:rPr>
            </w:pPr>
            <w:r>
              <w:rPr>
                <w:rFonts w:hint="eastAsia" w:ascii="宋体" w:hAnsi="宋体" w:cs="宋体"/>
                <w:color w:val="auto"/>
                <w:kern w:val="0"/>
                <w:sz w:val="22"/>
                <w:szCs w:val="22"/>
                <w:highlight w:val="none"/>
              </w:rPr>
              <w:t>退投标保证金说明</w:t>
            </w:r>
          </w:p>
        </w:tc>
        <w:tc>
          <w:tcPr>
            <w:tcW w:w="1217" w:type="pct"/>
            <w:vAlign w:val="center"/>
          </w:tcPr>
          <w:p>
            <w:pPr>
              <w:adjustRightInd w:val="0"/>
              <w:snapToGrid w:val="0"/>
              <w:jc w:val="center"/>
              <w:rPr>
                <w:rFonts w:ascii="宋体" w:hAnsi="宋体" w:cs="宋体"/>
                <w:color w:val="auto"/>
                <w:sz w:val="22"/>
                <w:szCs w:val="22"/>
                <w:highlight w:val="none"/>
              </w:rPr>
            </w:pPr>
            <w:r>
              <w:rPr>
                <w:rFonts w:hint="eastAsia" w:ascii="宋体" w:hAnsi="宋体" w:cs="宋体"/>
                <w:color w:val="auto"/>
                <w:sz w:val="22"/>
                <w:szCs w:val="22"/>
                <w:highlight w:val="none"/>
              </w:rPr>
              <w:t>第（ ）页</w:t>
            </w:r>
          </w:p>
        </w:tc>
      </w:tr>
    </w:tbl>
    <w:p>
      <w:pPr>
        <w:rPr>
          <w:rFonts w:ascii="宋体" w:hAnsi="宋体" w:cs="宋体"/>
          <w:color w:val="auto"/>
          <w:highlight w:val="none"/>
        </w:rPr>
        <w:sectPr>
          <w:footerReference r:id="rId12" w:type="default"/>
          <w:pgSz w:w="11906" w:h="16838"/>
          <w:pgMar w:top="1440" w:right="1417" w:bottom="1440" w:left="1417" w:header="851" w:footer="992" w:gutter="0"/>
          <w:pgNumType w:fmt="decimal"/>
          <w:cols w:space="720" w:num="1"/>
          <w:docGrid w:type="lines" w:linePitch="312" w:charSpace="0"/>
        </w:sectPr>
      </w:pPr>
    </w:p>
    <w:bookmarkEnd w:id="157"/>
    <w:bookmarkEnd w:id="158"/>
    <w:p>
      <w:pPr>
        <w:pStyle w:val="4"/>
        <w:adjustRightInd w:val="0"/>
        <w:snapToGrid w:val="0"/>
        <w:spacing w:beforeLines="50" w:after="0" w:line="360" w:lineRule="auto"/>
        <w:jc w:val="center"/>
        <w:rPr>
          <w:rFonts w:ascii="宋体" w:hAnsi="宋体" w:eastAsia="宋体" w:cs="宋体"/>
          <w:bCs w:val="0"/>
          <w:color w:val="auto"/>
          <w:highlight w:val="none"/>
        </w:rPr>
      </w:pPr>
      <w:bookmarkStart w:id="160" w:name="_Toc21519"/>
      <w:bookmarkStart w:id="161" w:name="_Toc520812001"/>
      <w:bookmarkStart w:id="162" w:name="_Toc14080"/>
      <w:bookmarkStart w:id="163" w:name="_Toc11010"/>
      <w:bookmarkStart w:id="164" w:name="_Toc435515294"/>
      <w:bookmarkStart w:id="165" w:name="_Toc275865605"/>
      <w:bookmarkStart w:id="166" w:name="_Toc435514854"/>
      <w:r>
        <w:rPr>
          <w:rFonts w:hint="eastAsia" w:ascii="宋体" w:hAnsi="宋体" w:eastAsia="宋体" w:cs="宋体"/>
          <w:bCs w:val="0"/>
          <w:color w:val="auto"/>
          <w:highlight w:val="none"/>
        </w:rPr>
        <w:t>开标一览表(报价表)</w:t>
      </w:r>
      <w:bookmarkEnd w:id="160"/>
      <w:bookmarkEnd w:id="161"/>
      <w:bookmarkEnd w:id="162"/>
      <w:bookmarkEnd w:id="163"/>
    </w:p>
    <w:tbl>
      <w:tblPr>
        <w:tblStyle w:val="40"/>
        <w:tblW w:w="516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97"/>
        <w:gridCol w:w="2912"/>
        <w:gridCol w:w="1658"/>
        <w:gridCol w:w="2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497" w:type="dxa"/>
            <w:shd w:val="clear" w:color="auto" w:fill="EEECE1"/>
            <w:vAlign w:val="center"/>
          </w:tcPr>
          <w:p>
            <w:pPr>
              <w:adjustRightInd w:val="0"/>
              <w:snapToGrid w:val="0"/>
              <w:jc w:val="center"/>
              <w:rPr>
                <w:rFonts w:ascii="宋体" w:hAnsi="宋体" w:cs="宋体"/>
                <w:b/>
                <w:color w:val="auto"/>
                <w:szCs w:val="21"/>
                <w:highlight w:val="none"/>
              </w:rPr>
            </w:pPr>
            <w:bookmarkStart w:id="167" w:name="_Hlk499026482"/>
            <w:r>
              <w:rPr>
                <w:rFonts w:hint="eastAsia" w:ascii="宋体" w:hAnsi="宋体" w:cs="宋体"/>
                <w:b/>
                <w:bCs/>
                <w:color w:val="auto"/>
                <w:szCs w:val="21"/>
                <w:highlight w:val="none"/>
              </w:rPr>
              <w:t>采购内容</w:t>
            </w:r>
          </w:p>
        </w:tc>
        <w:tc>
          <w:tcPr>
            <w:tcW w:w="2912" w:type="dxa"/>
            <w:shd w:val="clear" w:color="auto" w:fill="EEECE1"/>
            <w:vAlign w:val="center"/>
          </w:tcPr>
          <w:p>
            <w:pPr>
              <w:adjustRightInd w:val="0"/>
              <w:snapToGrid w:val="0"/>
              <w:jc w:val="center"/>
              <w:rPr>
                <w:rFonts w:hint="eastAsia" w:ascii="宋体" w:hAnsi="宋体" w:cs="宋体"/>
                <w:b/>
                <w:color w:val="auto"/>
                <w:szCs w:val="21"/>
                <w:highlight w:val="none"/>
                <w:lang w:val="en-US" w:eastAsia="zh-CN"/>
              </w:rPr>
            </w:pPr>
            <w:r>
              <w:rPr>
                <w:rFonts w:hint="eastAsia" w:ascii="宋体" w:hAnsi="宋体" w:cs="宋体"/>
                <w:b/>
                <w:bCs/>
                <w:color w:val="auto"/>
                <w:kern w:val="28"/>
                <w:szCs w:val="21"/>
                <w:highlight w:val="none"/>
              </w:rPr>
              <w:t>月度物业管理服务费</w:t>
            </w:r>
            <w:r>
              <w:rPr>
                <w:rFonts w:hint="eastAsia" w:ascii="宋体" w:hAnsi="宋体" w:cs="宋体"/>
                <w:b/>
                <w:color w:val="auto"/>
                <w:szCs w:val="21"/>
                <w:highlight w:val="none"/>
                <w:lang w:val="en-US" w:eastAsia="zh-CN"/>
              </w:rPr>
              <w:t>报价</w:t>
            </w:r>
          </w:p>
          <w:p>
            <w:pPr>
              <w:adjustRightInd w:val="0"/>
              <w:snapToGrid w:val="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（人民币，元）</w:t>
            </w:r>
          </w:p>
        </w:tc>
        <w:tc>
          <w:tcPr>
            <w:tcW w:w="1658" w:type="dxa"/>
            <w:shd w:val="clear" w:color="auto" w:fill="EEECE1"/>
            <w:vAlign w:val="center"/>
          </w:tcPr>
          <w:p>
            <w:pPr>
              <w:adjustRightInd w:val="0"/>
              <w:snapToGrid w:val="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服务月数</w:t>
            </w:r>
          </w:p>
        </w:tc>
        <w:tc>
          <w:tcPr>
            <w:tcW w:w="2486" w:type="dxa"/>
            <w:shd w:val="clear" w:color="auto" w:fill="EEECE1"/>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2497" w:type="dxa"/>
            <w:vAlign w:val="center"/>
          </w:tcPr>
          <w:p>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南海出入境边防检查站物业管理服务项目</w:t>
            </w:r>
          </w:p>
        </w:tc>
        <w:tc>
          <w:tcPr>
            <w:tcW w:w="2912" w:type="dxa"/>
            <w:vAlign w:val="center"/>
          </w:tcPr>
          <w:p>
            <w:pPr>
              <w:pStyle w:val="2"/>
              <w:ind w:firstLine="210" w:firstLineChars="100"/>
              <w:jc w:val="left"/>
              <w:rPr>
                <w:rFonts w:hint="default" w:eastAsia="宋体"/>
                <w:color w:val="auto"/>
                <w:highlight w:val="none"/>
                <w:lang w:val="en-US" w:eastAsia="zh-CN"/>
              </w:rPr>
            </w:pPr>
            <w:r>
              <w:rPr>
                <w:rFonts w:ascii="Times New Roman" w:hAnsi="Times New Roman" w:cs="Times New Roman"/>
                <w:color w:val="auto"/>
                <w:sz w:val="21"/>
                <w:szCs w:val="21"/>
                <w:highlight w:val="none"/>
              </w:rPr>
              <w:t>小写：</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none"/>
                <w:lang w:val="en-US" w:eastAsia="zh-CN"/>
              </w:rPr>
              <w:t>元</w:t>
            </w:r>
          </w:p>
        </w:tc>
        <w:tc>
          <w:tcPr>
            <w:tcW w:w="1658" w:type="dxa"/>
            <w:vAlign w:val="center"/>
          </w:tcPr>
          <w:p>
            <w:pPr>
              <w:pStyle w:val="2"/>
              <w:ind w:firstLine="0" w:firstLineChars="0"/>
              <w:jc w:val="center"/>
              <w:rPr>
                <w:rFonts w:hint="default" w:eastAsia="宋体"/>
                <w:color w:val="auto"/>
                <w:highlight w:val="none"/>
                <w:lang w:val="en-US" w:eastAsia="zh-CN"/>
              </w:rPr>
            </w:pPr>
            <w:r>
              <w:rPr>
                <w:rFonts w:hint="eastAsia"/>
                <w:color w:val="auto"/>
                <w:highlight w:val="none"/>
                <w:lang w:val="en-US" w:eastAsia="zh-CN"/>
              </w:rPr>
              <w:t>16个月</w:t>
            </w:r>
          </w:p>
        </w:tc>
        <w:tc>
          <w:tcPr>
            <w:tcW w:w="2486" w:type="dxa"/>
            <w:vAlign w:val="center"/>
          </w:tcPr>
          <w:p>
            <w:pPr>
              <w:pStyle w:val="2"/>
              <w:ind w:firstLine="0" w:firstLineChars="0"/>
              <w:jc w:val="center"/>
              <w:rPr>
                <w:rFonts w:hint="default" w:eastAsia="宋体"/>
                <w:color w:val="auto"/>
                <w:highlight w:val="none"/>
                <w:lang w:val="en-US" w:eastAsia="zh-CN"/>
              </w:rPr>
            </w:pPr>
            <w:r>
              <w:rPr>
                <w:rFonts w:hint="eastAsia"/>
                <w:color w:val="auto"/>
                <w:highlight w:val="none"/>
                <w:lang w:val="en-US" w:eastAsia="zh-CN"/>
              </w:rPr>
              <w:t>中标总价（合同总价）=月度物业管理服务费*服务月数</w:t>
            </w:r>
          </w:p>
        </w:tc>
      </w:tr>
    </w:tbl>
    <w:p>
      <w:pPr>
        <w:spacing w:line="500" w:lineRule="exact"/>
        <w:rPr>
          <w:rFonts w:ascii="宋体" w:hAnsi="宋体" w:cs="宋体"/>
          <w:b/>
          <w:bCs/>
          <w:color w:val="auto"/>
          <w:highlight w:val="none"/>
          <w:u w:val="single"/>
        </w:rPr>
      </w:pPr>
      <w:r>
        <w:rPr>
          <w:rFonts w:hint="eastAsia" w:ascii="宋体" w:hAnsi="宋体" w:cs="宋体"/>
          <w:b/>
          <w:bCs/>
          <w:color w:val="auto"/>
          <w:spacing w:val="4"/>
          <w:highlight w:val="none"/>
        </w:rPr>
        <w:t>投标人名称（</w:t>
      </w:r>
      <w:r>
        <w:rPr>
          <w:rFonts w:hint="eastAsia" w:ascii="宋体" w:hAnsi="宋体" w:cs="宋体"/>
          <w:b/>
          <w:bCs/>
          <w:color w:val="auto"/>
          <w:highlight w:val="none"/>
        </w:rPr>
        <w:t>单位盖</w:t>
      </w:r>
      <w:r>
        <w:rPr>
          <w:rFonts w:hint="eastAsia" w:ascii="宋体" w:hAnsi="宋体" w:cs="宋体"/>
          <w:b/>
          <w:bCs/>
          <w:color w:val="auto"/>
          <w:spacing w:val="4"/>
          <w:highlight w:val="none"/>
        </w:rPr>
        <w:t>公章）：</w:t>
      </w:r>
      <w:r>
        <w:rPr>
          <w:rFonts w:hint="eastAsia" w:ascii="宋体" w:hAnsi="宋体" w:cs="宋体"/>
          <w:b/>
          <w:bCs/>
          <w:color w:val="auto"/>
          <w:szCs w:val="21"/>
          <w:highlight w:val="none"/>
          <w:u w:val="single"/>
        </w:rPr>
        <w:t xml:space="preserve">                               </w:t>
      </w:r>
    </w:p>
    <w:p>
      <w:pPr>
        <w:spacing w:line="520" w:lineRule="exact"/>
        <w:rPr>
          <w:rFonts w:ascii="宋体" w:hAnsi="宋体" w:cs="宋体"/>
          <w:b/>
          <w:bCs/>
          <w:color w:val="auto"/>
          <w:highlight w:val="none"/>
        </w:rPr>
      </w:pPr>
      <w:r>
        <w:rPr>
          <w:rFonts w:hint="eastAsia" w:ascii="宋体" w:hAnsi="宋体" w:cs="宋体"/>
          <w:b/>
          <w:bCs/>
          <w:color w:val="auto"/>
          <w:highlight w:val="none"/>
        </w:rPr>
        <w:t>法定代表人或投标人授权代表（签名或盖章）：</w:t>
      </w:r>
      <w:r>
        <w:rPr>
          <w:rFonts w:hint="eastAsia" w:ascii="宋体" w:hAnsi="宋体" w:cs="宋体"/>
          <w:b/>
          <w:bCs/>
          <w:color w:val="auto"/>
          <w:szCs w:val="21"/>
          <w:highlight w:val="none"/>
          <w:u w:val="single"/>
        </w:rPr>
        <w:t xml:space="preserve">                               </w:t>
      </w:r>
    </w:p>
    <w:p>
      <w:pPr>
        <w:spacing w:line="520" w:lineRule="exact"/>
        <w:rPr>
          <w:rFonts w:ascii="宋体" w:hAnsi="宋体" w:cs="宋体"/>
          <w:b/>
          <w:bCs/>
          <w:color w:val="auto"/>
          <w:highlight w:val="none"/>
        </w:rPr>
      </w:pPr>
      <w:r>
        <w:rPr>
          <w:rFonts w:hint="eastAsia" w:ascii="宋体" w:hAnsi="宋体" w:cs="宋体"/>
          <w:b/>
          <w:bCs/>
          <w:color w:val="auto"/>
          <w:highlight w:val="none"/>
        </w:rPr>
        <w:t>日期：</w:t>
      </w:r>
      <w:r>
        <w:rPr>
          <w:rFonts w:hint="eastAsia" w:ascii="宋体" w:hAnsi="宋体" w:cs="宋体"/>
          <w:b/>
          <w:bCs/>
          <w:color w:val="auto"/>
          <w:szCs w:val="21"/>
          <w:highlight w:val="none"/>
          <w:u w:val="single"/>
        </w:rPr>
        <w:t xml:space="preserve">                               </w:t>
      </w:r>
    </w:p>
    <w:p>
      <w:pPr>
        <w:spacing w:line="400" w:lineRule="exact"/>
        <w:rPr>
          <w:rFonts w:ascii="宋体" w:hAnsi="宋体" w:cs="宋体"/>
          <w:b/>
          <w:bCs/>
          <w:color w:val="auto"/>
          <w:szCs w:val="21"/>
          <w:highlight w:val="none"/>
        </w:rPr>
      </w:pPr>
    </w:p>
    <w:p>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备注：</w:t>
      </w:r>
    </w:p>
    <w:p>
      <w:pPr>
        <w:numPr>
          <w:ilvl w:val="1"/>
          <w:numId w:val="49"/>
        </w:numPr>
        <w:tabs>
          <w:tab w:val="left" w:pos="360"/>
          <w:tab w:val="clear" w:pos="1620"/>
        </w:tabs>
        <w:snapToGrid w:val="0"/>
        <w:spacing w:line="360" w:lineRule="auto"/>
        <w:ind w:left="360"/>
        <w:rPr>
          <w:rFonts w:ascii="宋体" w:hAnsi="宋体" w:cs="宋体"/>
          <w:color w:val="auto"/>
          <w:highlight w:val="none"/>
        </w:rPr>
      </w:pPr>
      <w:r>
        <w:rPr>
          <w:rFonts w:hint="eastAsia" w:ascii="宋体" w:hAnsi="宋体" w:cs="宋体"/>
          <w:color w:val="auto"/>
          <w:highlight w:val="none"/>
        </w:rPr>
        <w:t>本项目只允许一个报价</w:t>
      </w:r>
      <w:r>
        <w:rPr>
          <w:rFonts w:hint="eastAsia" w:ascii="宋体" w:hAnsi="宋体" w:cs="宋体"/>
          <w:color w:val="auto"/>
          <w:highlight w:val="none"/>
          <w:lang w:eastAsia="zh-CN"/>
        </w:rPr>
        <w:t>，</w:t>
      </w:r>
      <w:r>
        <w:rPr>
          <w:rFonts w:hint="eastAsia" w:ascii="宋体" w:hAnsi="宋体" w:cs="宋体"/>
          <w:color w:val="auto"/>
          <w:highlight w:val="none"/>
        </w:rPr>
        <w:t>报价精确到小数点后两位</w:t>
      </w:r>
      <w:r>
        <w:rPr>
          <w:rFonts w:hint="eastAsia" w:ascii="宋体" w:hAnsi="宋体" w:cs="宋体"/>
          <w:color w:val="auto"/>
          <w:highlight w:val="none"/>
          <w:lang w:eastAsia="zh-CN"/>
        </w:rPr>
        <w:t>。</w:t>
      </w:r>
    </w:p>
    <w:p>
      <w:pPr>
        <w:numPr>
          <w:ilvl w:val="1"/>
          <w:numId w:val="49"/>
        </w:numPr>
        <w:tabs>
          <w:tab w:val="left" w:pos="360"/>
          <w:tab w:val="clear" w:pos="1620"/>
        </w:tabs>
        <w:snapToGrid w:val="0"/>
        <w:spacing w:line="360" w:lineRule="auto"/>
        <w:ind w:left="360"/>
        <w:rPr>
          <w:rFonts w:ascii="宋体" w:hAnsi="宋体" w:cs="宋体"/>
          <w:b/>
          <w:bCs/>
          <w:color w:val="auto"/>
          <w:highlight w:val="none"/>
        </w:rPr>
      </w:pPr>
      <w:r>
        <w:rPr>
          <w:rFonts w:hint="eastAsia" w:ascii="宋体" w:hAnsi="宋体" w:cs="宋体"/>
          <w:b/>
          <w:bCs/>
          <w:color w:val="auto"/>
          <w:sz w:val="21"/>
          <w:szCs w:val="21"/>
          <w:highlight w:val="none"/>
          <w:lang w:val="en-US" w:eastAsia="zh-CN"/>
        </w:rPr>
        <w:t>本项目采用固定月度物业管理服务费包干方式，月度物业管理服务费最高限价为139982.96元；投标报价超过最高限价的，将作否决投标处理</w:t>
      </w:r>
      <w:r>
        <w:rPr>
          <w:rFonts w:hint="eastAsia" w:ascii="宋体" w:hAnsi="宋体" w:cs="宋体"/>
          <w:b/>
          <w:bCs/>
          <w:color w:val="auto"/>
          <w:highlight w:val="none"/>
        </w:rPr>
        <w:t>。</w:t>
      </w:r>
    </w:p>
    <w:p>
      <w:pPr>
        <w:numPr>
          <w:ilvl w:val="1"/>
          <w:numId w:val="49"/>
        </w:numPr>
        <w:tabs>
          <w:tab w:val="left" w:pos="360"/>
          <w:tab w:val="clear" w:pos="1620"/>
        </w:tabs>
        <w:snapToGrid w:val="0"/>
        <w:spacing w:line="360" w:lineRule="auto"/>
        <w:ind w:left="360"/>
        <w:rPr>
          <w:rFonts w:ascii="宋体" w:hAnsi="宋体" w:cs="宋体"/>
          <w:b/>
          <w:color w:val="auto"/>
          <w:highlight w:val="none"/>
        </w:rPr>
      </w:pPr>
      <w:r>
        <w:rPr>
          <w:rFonts w:hint="eastAsia" w:ascii="宋体" w:hAnsi="宋体" w:cs="宋体"/>
          <w:color w:val="auto"/>
          <w:highlight w:val="none"/>
        </w:rPr>
        <w:t>除招标文件另有规定外，投标文件内不得含有任何对本报价进行价格折扣的说明或资料，否则为无效投标。</w:t>
      </w:r>
      <w:r>
        <w:rPr>
          <w:rFonts w:hint="eastAsia" w:ascii="宋体" w:hAnsi="宋体" w:cs="宋体"/>
          <w:color w:val="auto"/>
          <w:highlight w:val="none"/>
        </w:rPr>
        <w:br w:type="page"/>
      </w:r>
      <w:bookmarkEnd w:id="167"/>
      <w:bookmarkStart w:id="168" w:name="_Hlk496781648"/>
      <w:bookmarkStart w:id="169" w:name="_Toc435514875"/>
      <w:bookmarkStart w:id="170" w:name="_Hlk499026515"/>
      <w:bookmarkStart w:id="171" w:name="_Toc435515315"/>
    </w:p>
    <w:p>
      <w:pPr>
        <w:pStyle w:val="2"/>
        <w:snapToGrid w:val="0"/>
        <w:spacing w:line="360" w:lineRule="auto"/>
        <w:ind w:firstLine="0" w:firstLineChars="0"/>
        <w:rPr>
          <w:rFonts w:ascii="宋体" w:hAnsi="宋体" w:cs="宋体"/>
          <w:b/>
          <w:color w:val="auto"/>
          <w:highlight w:val="none"/>
        </w:rPr>
      </w:pPr>
      <w:bookmarkStart w:id="172" w:name="_Toc19423"/>
      <w:bookmarkStart w:id="173" w:name="_Toc31203"/>
      <w:bookmarkStart w:id="174" w:name="_Toc520812003"/>
    </w:p>
    <w:bookmarkEnd w:id="168"/>
    <w:bookmarkEnd w:id="169"/>
    <w:bookmarkEnd w:id="170"/>
    <w:bookmarkEnd w:id="171"/>
    <w:bookmarkEnd w:id="172"/>
    <w:bookmarkEnd w:id="173"/>
    <w:bookmarkEnd w:id="174"/>
    <w:p>
      <w:pPr>
        <w:tabs>
          <w:tab w:val="left" w:pos="426"/>
        </w:tabs>
        <w:autoSpaceDE w:val="0"/>
        <w:autoSpaceDN w:val="0"/>
        <w:spacing w:afterLines="82" w:line="360" w:lineRule="auto"/>
        <w:jc w:val="center"/>
        <w:outlineLvl w:val="3"/>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中小企业声明函（服务）</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如有</w:t>
      </w:r>
      <w:r>
        <w:rPr>
          <w:rFonts w:hint="eastAsia" w:ascii="宋体" w:hAnsi="宋体" w:cs="宋体"/>
          <w:b/>
          <w:bCs/>
          <w:color w:val="auto"/>
          <w:sz w:val="32"/>
          <w:szCs w:val="32"/>
          <w:highlight w:val="none"/>
          <w:lang w:eastAsia="zh-CN"/>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 xml:space="preserve">46 </w:t>
      </w:r>
      <w:r>
        <w:rPr>
          <w:rFonts w:hint="eastAsia" w:ascii="宋体" w:hAnsi="宋体"/>
          <w:color w:val="auto"/>
          <w:sz w:val="24"/>
          <w:szCs w:val="24"/>
          <w:highlight w:val="none"/>
        </w:rPr>
        <w:t>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采购活动，服务全部由符合政策要求的中小企业承接。相关企业（含联合体中的中小企业、签订分包意向协议的中小企业）的具体情况如下：</w:t>
      </w:r>
    </w:p>
    <w:p>
      <w:pPr>
        <w:spacing w:line="360" w:lineRule="auto"/>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i/>
          <w:color w:val="auto"/>
          <w:sz w:val="24"/>
          <w:szCs w:val="24"/>
          <w:highlight w:val="none"/>
          <w:u w:val="single"/>
        </w:rPr>
        <w:t>（标的名称）</w:t>
      </w:r>
      <w:r>
        <w:rPr>
          <w:rFonts w:ascii="宋体" w:hAnsi="宋体"/>
          <w:i/>
          <w:color w:val="auto"/>
          <w:sz w:val="24"/>
          <w:szCs w:val="24"/>
          <w:highlight w:val="none"/>
          <w:u w:val="single"/>
        </w:rPr>
        <w:t xml:space="preserve">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ascii="宋体" w:hAnsi="宋体"/>
          <w:color w:val="auto"/>
          <w:sz w:val="24"/>
          <w:szCs w:val="24"/>
          <w:highlight w:val="none"/>
        </w:rPr>
        <w:t xml:space="preserve">2. </w:t>
      </w:r>
      <w:r>
        <w:rPr>
          <w:rFonts w:hint="eastAsia" w:ascii="宋体" w:hAnsi="宋体"/>
          <w:i/>
          <w:color w:val="auto"/>
          <w:sz w:val="24"/>
          <w:szCs w:val="24"/>
          <w:highlight w:val="none"/>
          <w:u w:val="single"/>
        </w:rPr>
        <w:t>（标的名称）</w:t>
      </w:r>
      <w:r>
        <w:rPr>
          <w:rFonts w:ascii="宋体" w:hAnsi="宋体"/>
          <w:i/>
          <w:color w:val="auto"/>
          <w:sz w:val="24"/>
          <w:szCs w:val="24"/>
          <w:highlight w:val="none"/>
          <w:u w:val="single"/>
        </w:rPr>
        <w:t xml:space="preserve">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pPr>
        <w:spacing w:line="360" w:lineRule="auto"/>
        <w:ind w:firstLine="4800" w:firstLineChars="2000"/>
        <w:rPr>
          <w:rFonts w:ascii="宋体" w:hAnsi="宋体"/>
          <w:color w:val="auto"/>
          <w:sz w:val="24"/>
          <w:szCs w:val="24"/>
          <w:highlight w:val="none"/>
        </w:rPr>
      </w:pPr>
      <w:r>
        <w:rPr>
          <w:rFonts w:hint="eastAsia" w:ascii="宋体" w:hAnsi="宋体"/>
          <w:color w:val="auto"/>
          <w:sz w:val="24"/>
          <w:szCs w:val="24"/>
          <w:highlight w:val="none"/>
        </w:rPr>
        <w:t>企业名称（盖章）：</w:t>
      </w:r>
    </w:p>
    <w:p>
      <w:pPr>
        <w:spacing w:line="360" w:lineRule="auto"/>
        <w:ind w:firstLine="4920" w:firstLineChars="2050"/>
        <w:rPr>
          <w:rFonts w:ascii="宋体" w:hAnsi="宋体"/>
          <w:color w:val="auto"/>
          <w:sz w:val="24"/>
          <w:szCs w:val="24"/>
          <w:highlight w:val="none"/>
        </w:rPr>
      </w:pPr>
      <w:r>
        <w:rPr>
          <w:rFonts w:hint="eastAsia" w:ascii="宋体" w:hAnsi="宋体"/>
          <w:color w:val="auto"/>
          <w:sz w:val="24"/>
          <w:szCs w:val="24"/>
          <w:highlight w:val="none"/>
        </w:rPr>
        <w:t>日期：</w:t>
      </w:r>
    </w:p>
    <w:p>
      <w:pPr>
        <w:widowControl/>
        <w:snapToGrid w:val="0"/>
        <w:spacing w:line="360" w:lineRule="auto"/>
        <w:ind w:firstLine="480" w:firstLineChars="200"/>
        <w:jc w:val="left"/>
        <w:rPr>
          <w:rFonts w:ascii="宋体" w:hAnsi="宋体" w:cs="宋体"/>
          <w:color w:val="auto"/>
          <w:kern w:val="0"/>
          <w:sz w:val="24"/>
          <w:szCs w:val="22"/>
          <w:highlight w:val="none"/>
        </w:rPr>
      </w:pPr>
    </w:p>
    <w:p>
      <w:pPr>
        <w:pStyle w:val="25"/>
        <w:rPr>
          <w:rFonts w:cs="宋体"/>
          <w:color w:val="auto"/>
          <w:sz w:val="21"/>
          <w:szCs w:val="21"/>
          <w:highlight w:val="none"/>
        </w:rPr>
      </w:pPr>
      <w:r>
        <w:rPr>
          <w:rFonts w:hint="eastAsia" w:cs="宋体"/>
          <w:color w:val="auto"/>
          <w:sz w:val="21"/>
          <w:szCs w:val="21"/>
          <w:highlight w:val="none"/>
        </w:rPr>
        <w:t>注：</w:t>
      </w:r>
    </w:p>
    <w:p>
      <w:pPr>
        <w:pStyle w:val="25"/>
        <w:rPr>
          <w:rFonts w:cs="宋体"/>
          <w:color w:val="auto"/>
          <w:sz w:val="21"/>
          <w:szCs w:val="21"/>
          <w:highlight w:val="none"/>
        </w:rPr>
      </w:pPr>
      <w:r>
        <w:rPr>
          <w:rFonts w:hint="eastAsia" w:cs="宋体"/>
          <w:color w:val="auto"/>
          <w:sz w:val="21"/>
          <w:szCs w:val="21"/>
          <w:highlight w:val="none"/>
        </w:rPr>
        <w:t>1.投标人为中小企业时需提供本声明函，并完整填写从业人员、营业收入、资产总额等内容，否则评审时不能享受相应的价格扣除。从业人员、营业收入、资产总额填报上一年度数据，无上一年度数据的新成立企业可不填报。</w:t>
      </w:r>
    </w:p>
    <w:p>
      <w:pPr>
        <w:pStyle w:val="25"/>
        <w:rPr>
          <w:rFonts w:cs="宋体"/>
          <w:b/>
          <w:bCs/>
          <w:color w:val="auto"/>
          <w:sz w:val="21"/>
          <w:szCs w:val="21"/>
          <w:highlight w:val="none"/>
          <w:u w:val="double"/>
        </w:rPr>
      </w:pPr>
      <w:r>
        <w:rPr>
          <w:rFonts w:hint="eastAsia" w:cs="宋体"/>
          <w:b/>
          <w:bCs/>
          <w:color w:val="auto"/>
          <w:sz w:val="21"/>
          <w:szCs w:val="21"/>
          <w:highlight w:val="none"/>
          <w:u w:val="double"/>
        </w:rPr>
        <w:t>2.投标人应结合招标文件中明确的所属行业及该行业中小企业划型标准进行填写其单位类型。</w:t>
      </w:r>
      <w:r>
        <w:rPr>
          <w:rFonts w:hint="eastAsia" w:cs="宋体"/>
          <w:color w:val="auto"/>
          <w:sz w:val="21"/>
          <w:szCs w:val="21"/>
          <w:highlight w:val="none"/>
        </w:rPr>
        <w:t>如采购项目所属行业为</w:t>
      </w:r>
      <w:r>
        <w:rPr>
          <w:rFonts w:hint="eastAsia" w:cs="宋体"/>
          <w:b/>
          <w:bCs/>
          <w:color w:val="auto"/>
          <w:sz w:val="21"/>
          <w:szCs w:val="21"/>
          <w:highlight w:val="none"/>
          <w:u w:val="double"/>
          <w:lang w:eastAsia="zh-CN"/>
        </w:rPr>
        <w:t>物业管理</w:t>
      </w:r>
      <w:r>
        <w:rPr>
          <w:rFonts w:hint="eastAsia" w:cs="宋体"/>
          <w:color w:val="auto"/>
          <w:sz w:val="21"/>
          <w:szCs w:val="21"/>
          <w:highlight w:val="none"/>
        </w:rPr>
        <w:t>，则应执行</w:t>
      </w:r>
      <w:r>
        <w:rPr>
          <w:rFonts w:hint="eastAsia" w:cs="宋体"/>
          <w:b/>
          <w:bCs/>
          <w:color w:val="auto"/>
          <w:sz w:val="21"/>
          <w:szCs w:val="21"/>
          <w:highlight w:val="none"/>
          <w:u w:val="double"/>
          <w:lang w:eastAsia="zh-CN"/>
        </w:rPr>
        <w:t>物业管理</w:t>
      </w:r>
      <w:r>
        <w:rPr>
          <w:rFonts w:hint="eastAsia" w:cs="宋体"/>
          <w:color w:val="auto"/>
          <w:sz w:val="21"/>
          <w:szCs w:val="21"/>
          <w:highlight w:val="none"/>
        </w:rPr>
        <w:t>的中小企业划分标准。具体划分标准见《关于印发中小企业划型标准规定的通知》（工信部联企业〔2011〕300号）。</w:t>
      </w:r>
    </w:p>
    <w:p>
      <w:pPr>
        <w:pStyle w:val="25"/>
        <w:rPr>
          <w:rFonts w:cs="宋体"/>
          <w:color w:val="auto"/>
          <w:sz w:val="21"/>
          <w:szCs w:val="21"/>
          <w:highlight w:val="none"/>
        </w:rPr>
      </w:pPr>
      <w:r>
        <w:rPr>
          <w:rFonts w:hint="eastAsia" w:cs="宋体"/>
          <w:color w:val="auto"/>
          <w:sz w:val="21"/>
          <w:szCs w:val="21"/>
          <w:highlight w:val="none"/>
        </w:rPr>
        <w:t>3.监狱企业参加政府采购活动时，提供由省级以上监狱管理局、戒毒管理局(含新疆生产建设兵团)出具的属于监狱企业的证明文件，可不再提供《中小企业声明函》。</w:t>
      </w:r>
    </w:p>
    <w:p>
      <w:pPr>
        <w:pStyle w:val="25"/>
        <w:rPr>
          <w:rFonts w:cs="宋体"/>
          <w:color w:val="auto"/>
          <w:sz w:val="21"/>
          <w:szCs w:val="21"/>
          <w:highlight w:val="none"/>
        </w:rPr>
      </w:pPr>
      <w:r>
        <w:rPr>
          <w:rFonts w:hint="eastAsia" w:cs="宋体"/>
          <w:color w:val="auto"/>
          <w:sz w:val="21"/>
          <w:szCs w:val="21"/>
          <w:highlight w:val="none"/>
        </w:rPr>
        <w:t>4.符合条件的残疾人福利性单位提供《残疾人福利性单位声明函》，无须提供《中小企业声明函》。</w:t>
      </w:r>
    </w:p>
    <w:p>
      <w:pPr>
        <w:pStyle w:val="25"/>
        <w:rPr>
          <w:rFonts w:cs="宋体"/>
          <w:color w:val="auto"/>
          <w:sz w:val="21"/>
          <w:szCs w:val="21"/>
          <w:highlight w:val="none"/>
        </w:rPr>
      </w:pPr>
      <w:r>
        <w:rPr>
          <w:rFonts w:hint="eastAsia" w:cs="宋体"/>
          <w:b/>
          <w:bCs/>
          <w:color w:val="auto"/>
          <w:sz w:val="21"/>
          <w:szCs w:val="21"/>
          <w:highlight w:val="none"/>
          <w:u w:val="double"/>
        </w:rPr>
        <w:t>5.中标人为中小企业的，采购人、采购代理机构将随中标结果公开中标人的《中小企业声明函》。中标人如存在提供虚假材料谋取成交行为的，将上报监管部门处理。</w:t>
      </w:r>
    </w:p>
    <w:p>
      <w:pPr>
        <w:rPr>
          <w:rFonts w:ascii="宋体" w:hAnsi="宋体" w:cs="宋体"/>
          <w:color w:val="auto"/>
          <w:highlight w:val="none"/>
        </w:rPr>
      </w:pPr>
      <w:r>
        <w:rPr>
          <w:rFonts w:hint="eastAsia" w:ascii="宋体" w:hAnsi="宋体" w:cs="宋体"/>
          <w:color w:val="auto"/>
          <w:highlight w:val="none"/>
        </w:rPr>
        <w:br w:type="page"/>
      </w:r>
    </w:p>
    <w:p>
      <w:pPr>
        <w:pStyle w:val="2"/>
        <w:ind w:firstLine="400"/>
        <w:rPr>
          <w:color w:val="auto"/>
          <w:highlight w:val="none"/>
        </w:rPr>
      </w:pPr>
    </w:p>
    <w:p>
      <w:pPr>
        <w:tabs>
          <w:tab w:val="left" w:pos="426"/>
        </w:tabs>
        <w:autoSpaceDE w:val="0"/>
        <w:autoSpaceDN w:val="0"/>
        <w:spacing w:line="360" w:lineRule="auto"/>
        <w:jc w:val="center"/>
        <w:outlineLvl w:val="3"/>
        <w:rPr>
          <w:rFonts w:ascii="宋体" w:hAnsi="宋体" w:cs="宋体"/>
          <w:b/>
          <w:bCs/>
          <w:color w:val="auto"/>
          <w:sz w:val="32"/>
          <w:szCs w:val="32"/>
          <w:highlight w:val="none"/>
        </w:rPr>
      </w:pPr>
      <w:bookmarkStart w:id="175" w:name="_Toc520812007"/>
      <w:bookmarkStart w:id="176" w:name="_Toc1787"/>
      <w:bookmarkStart w:id="177" w:name="_Toc15690"/>
      <w:r>
        <w:rPr>
          <w:rFonts w:hint="eastAsia" w:ascii="宋体" w:hAnsi="宋体" w:cs="宋体"/>
          <w:b/>
          <w:bCs/>
          <w:color w:val="auto"/>
          <w:sz w:val="32"/>
          <w:szCs w:val="32"/>
          <w:highlight w:val="none"/>
        </w:rPr>
        <w:t>监狱企业的证明文件（如有）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说明：监狱企业参加政府采购活动时，应当提供由</w:t>
      </w:r>
      <w:r>
        <w:rPr>
          <w:rFonts w:hint="eastAsia" w:ascii="宋体" w:hAnsi="宋体" w:cs="宋体"/>
          <w:b/>
          <w:color w:val="auto"/>
          <w:szCs w:val="21"/>
          <w:highlight w:val="none"/>
        </w:rPr>
        <w:t>省级以上监狱管理局、戒毒管理局（含新疆生产建设兵团）出具的属于监狱企业的证明文件，</w:t>
      </w:r>
      <w:r>
        <w:rPr>
          <w:rFonts w:hint="eastAsia" w:ascii="宋体" w:hAnsi="宋体" w:cs="宋体"/>
          <w:color w:val="auto"/>
          <w:szCs w:val="21"/>
          <w:highlight w:val="none"/>
        </w:rPr>
        <w:t>并加盖投标单位公章。</w:t>
      </w:r>
    </w:p>
    <w:p>
      <w:pPr>
        <w:widowControl/>
        <w:jc w:val="left"/>
        <w:rPr>
          <w:rFonts w:ascii="宋体" w:hAnsi="宋体" w:cs="宋体"/>
          <w:color w:val="auto"/>
          <w:sz w:val="32"/>
          <w:szCs w:val="32"/>
          <w:highlight w:val="none"/>
        </w:rPr>
      </w:pPr>
    </w:p>
    <w:p>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br w:type="page"/>
      </w:r>
    </w:p>
    <w:p>
      <w:pPr>
        <w:tabs>
          <w:tab w:val="left" w:pos="426"/>
        </w:tabs>
        <w:autoSpaceDE w:val="0"/>
        <w:autoSpaceDN w:val="0"/>
        <w:spacing w:afterLines="82" w:line="360" w:lineRule="auto"/>
        <w:jc w:val="center"/>
        <w:outlineLvl w:val="3"/>
        <w:rPr>
          <w:rFonts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残疾人福利性单位声明函（如有）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360" w:lineRule="auto"/>
        <w:ind w:firstLine="420" w:firstLineChars="200"/>
        <w:jc w:val="center"/>
        <w:rPr>
          <w:rFonts w:ascii="宋体" w:hAnsi="宋体" w:cs="宋体"/>
          <w:color w:val="auto"/>
          <w:szCs w:val="21"/>
          <w:highlight w:val="none"/>
        </w:rPr>
      </w:pPr>
    </w:p>
    <w:p>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投标人名称（单位盖公章）：</w:t>
      </w:r>
    </w:p>
    <w:p>
      <w:pP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日  期：</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tabs>
          <w:tab w:val="left" w:pos="426"/>
        </w:tabs>
        <w:autoSpaceDE w:val="0"/>
        <w:autoSpaceDN w:val="0"/>
        <w:spacing w:afterLines="82" w:line="360" w:lineRule="auto"/>
        <w:jc w:val="center"/>
        <w:outlineLvl w:val="3"/>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国家级贫困地区物业服务情况（如有）</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764"/>
        <w:gridCol w:w="804"/>
        <w:gridCol w:w="716"/>
        <w:gridCol w:w="1077"/>
        <w:gridCol w:w="975"/>
        <w:gridCol w:w="2110"/>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物业公司名称</w:t>
            </w:r>
          </w:p>
        </w:tc>
        <w:tc>
          <w:tcPr>
            <w:tcW w:w="76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省</w:t>
            </w:r>
          </w:p>
        </w:tc>
        <w:tc>
          <w:tcPr>
            <w:tcW w:w="80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市</w:t>
            </w:r>
          </w:p>
        </w:tc>
        <w:tc>
          <w:tcPr>
            <w:tcW w:w="71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县</w:t>
            </w:r>
          </w:p>
        </w:tc>
        <w:tc>
          <w:tcPr>
            <w:tcW w:w="107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r>
              <w:rPr>
                <w:rFonts w:hint="eastAsia" w:ascii="宋体" w:hAnsi="宋体" w:cs="宋体"/>
                <w:b w:val="0"/>
                <w:bCs w:val="0"/>
                <w:color w:val="auto"/>
                <w:sz w:val="20"/>
                <w:szCs w:val="20"/>
                <w:highlight w:val="none"/>
                <w:vertAlign w:val="baseline"/>
              </w:rPr>
              <w:t>贫困人员数量</w:t>
            </w:r>
          </w:p>
        </w:tc>
        <w:tc>
          <w:tcPr>
            <w:tcW w:w="975"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rPr>
              <w:t>外包用</w:t>
            </w:r>
            <w:r>
              <w:rPr>
                <w:rFonts w:hint="eastAsia" w:ascii="宋体" w:hAnsi="宋体" w:cs="宋体"/>
                <w:b w:val="0"/>
                <w:bCs w:val="0"/>
                <w:color w:val="auto"/>
                <w:sz w:val="20"/>
                <w:szCs w:val="20"/>
                <w:highlight w:val="none"/>
                <w:vertAlign w:val="baseline"/>
                <w:lang w:val="en-US" w:eastAsia="zh-CN"/>
              </w:rPr>
              <w:t>工</w:t>
            </w:r>
          </w:p>
        </w:tc>
        <w:tc>
          <w:tcPr>
            <w:tcW w:w="21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r>
              <w:rPr>
                <w:rFonts w:hint="eastAsia" w:ascii="宋体" w:hAnsi="宋体" w:cs="宋体"/>
                <w:b w:val="0"/>
                <w:bCs w:val="0"/>
                <w:color w:val="auto"/>
                <w:sz w:val="20"/>
                <w:szCs w:val="20"/>
                <w:highlight w:val="none"/>
                <w:vertAlign w:val="baseline"/>
              </w:rPr>
              <w:t>证实材料</w:t>
            </w:r>
          </w:p>
        </w:tc>
        <w:tc>
          <w:tcPr>
            <w:tcW w:w="137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r>
              <w:rPr>
                <w:rFonts w:hint="eastAsia" w:ascii="宋体" w:hAnsi="宋体" w:cs="宋体"/>
                <w:b w:val="0"/>
                <w:bCs w:val="0"/>
                <w:color w:val="auto"/>
                <w:sz w:val="20"/>
                <w:szCs w:val="20"/>
                <w:highlight w:val="none"/>
                <w:vertAlign w:val="baseline"/>
              </w:rPr>
              <w:t>合同或协议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p>
        </w:tc>
        <w:tc>
          <w:tcPr>
            <w:tcW w:w="76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p>
        </w:tc>
        <w:tc>
          <w:tcPr>
            <w:tcW w:w="71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p>
        </w:tc>
        <w:tc>
          <w:tcPr>
            <w:tcW w:w="107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p>
        </w:tc>
        <w:tc>
          <w:tcPr>
            <w:tcW w:w="975"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是</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否</w:t>
            </w:r>
          </w:p>
        </w:tc>
        <w:tc>
          <w:tcPr>
            <w:tcW w:w="21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劳动合同</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保险缴纳凭证</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工资发放凭证</w:t>
            </w:r>
          </w:p>
        </w:tc>
        <w:tc>
          <w:tcPr>
            <w:tcW w:w="137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有</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0"/>
                <w:szCs w:val="20"/>
                <w:highlight w:val="none"/>
                <w:vertAlign w:val="baseline"/>
              </w:rPr>
            </w:pPr>
            <w:r>
              <w:rPr>
                <w:rFonts w:hint="eastAsia" w:ascii="宋体" w:hAnsi="宋体" w:cs="宋体"/>
                <w:b w:val="0"/>
                <w:bCs w:val="0"/>
                <w:color w:val="auto"/>
                <w:sz w:val="20"/>
                <w:szCs w:val="20"/>
                <w:highlight w:val="none"/>
                <w:vertAlign w:val="baseline"/>
                <w:lang w:val="en-US" w:eastAsia="zh-CN"/>
              </w:rPr>
              <w:sym w:font="Wingdings 2" w:char="00A3"/>
            </w:r>
            <w:r>
              <w:rPr>
                <w:rFonts w:hint="eastAsia" w:ascii="宋体" w:hAnsi="宋体" w:cs="宋体"/>
                <w:b w:val="0"/>
                <w:bCs w:val="0"/>
                <w:color w:val="auto"/>
                <w:sz w:val="20"/>
                <w:szCs w:val="20"/>
                <w:highlight w:val="none"/>
                <w:vertAlign w:val="baseline"/>
                <w:lang w:val="en-US" w:eastAsia="zh-CN"/>
              </w:rPr>
              <w:t>否</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说明：贫困县域物业公司参与物业服务政府采购,应提供以下佐证材料：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供应商注册所在地县扶贫部门出具的本公司聘用建档立卡贫困人员具体数量证明，并加盖供应商单位公章。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劳动合同或保险缴纳凭证、工资发放凭证等证实本公司聘用建档立卡贫困人员的材料，并加盖供应商单位公章。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如公司通过服务外包工方式聘用了建档立卡贫困人员，还应提供公司与服务外包公司签订的合同或协议，以及扶贫部门出具的该服务外包聘用建档立卡贫困人员具体数量证明，并加盖供应商单位公章。</w:t>
      </w:r>
    </w:p>
    <w:p>
      <w:pPr>
        <w:spacing w:line="360" w:lineRule="auto"/>
        <w:jc w:val="both"/>
        <w:rPr>
          <w:rFonts w:hint="eastAsia" w:ascii="宋体" w:hAnsi="宋体" w:cs="宋体"/>
          <w:color w:val="auto"/>
          <w:szCs w:val="21"/>
          <w:highlight w:val="none"/>
        </w:rPr>
      </w:pPr>
    </w:p>
    <w:p>
      <w:pPr>
        <w:spacing w:line="360" w:lineRule="auto"/>
        <w:jc w:val="both"/>
        <w:rPr>
          <w:rFonts w:hint="eastAsia" w:ascii="宋体" w:hAnsi="宋体" w:cs="宋体"/>
          <w:color w:val="auto"/>
          <w:szCs w:val="21"/>
          <w:highlight w:val="none"/>
        </w:rPr>
      </w:pPr>
    </w:p>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投标人名称（单位盖公章）：</w:t>
      </w:r>
    </w:p>
    <w:p>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日  期：</w:t>
      </w:r>
    </w:p>
    <w:p>
      <w:pPr>
        <w:widowControl/>
        <w:jc w:val="left"/>
        <w:rPr>
          <w:rFonts w:ascii="宋体" w:hAnsi="宋体" w:cs="宋体"/>
          <w:color w:val="auto"/>
          <w:sz w:val="32"/>
          <w:szCs w:val="32"/>
          <w:highlight w:val="none"/>
        </w:rPr>
      </w:pPr>
    </w:p>
    <w:p>
      <w:pPr>
        <w:widowControl/>
        <w:jc w:val="left"/>
        <w:rPr>
          <w:rFonts w:ascii="宋体" w:hAnsi="宋体" w:cs="宋体"/>
          <w:color w:val="auto"/>
          <w:sz w:val="32"/>
          <w:szCs w:val="32"/>
          <w:highlight w:val="none"/>
        </w:rPr>
      </w:pPr>
    </w:p>
    <w:p>
      <w:pPr>
        <w:widowControl/>
        <w:jc w:val="left"/>
        <w:rPr>
          <w:rFonts w:ascii="宋体" w:hAnsi="宋体" w:cs="宋体"/>
          <w:color w:val="auto"/>
          <w:sz w:val="32"/>
          <w:szCs w:val="32"/>
          <w:highlight w:val="none"/>
        </w:rPr>
      </w:pPr>
    </w:p>
    <w:p>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4"/>
        <w:adjustRightInd w:val="0"/>
        <w:snapToGrid w:val="0"/>
        <w:spacing w:beforeLines="50" w:afterLines="50" w:line="360" w:lineRule="auto"/>
        <w:jc w:val="center"/>
        <w:rPr>
          <w:rFonts w:ascii="宋体" w:hAnsi="宋体" w:eastAsia="宋体" w:cs="宋体"/>
          <w:color w:val="auto"/>
          <w:highlight w:val="none"/>
        </w:rPr>
      </w:pPr>
      <w:bookmarkStart w:id="178" w:name="_Toc7455"/>
      <w:r>
        <w:rPr>
          <w:rFonts w:hint="eastAsia" w:ascii="宋体" w:hAnsi="宋体" w:eastAsia="宋体" w:cs="宋体"/>
          <w:color w:val="auto"/>
          <w:highlight w:val="none"/>
        </w:rPr>
        <w:t>投标函</w:t>
      </w:r>
      <w:bookmarkEnd w:id="164"/>
      <w:bookmarkEnd w:id="165"/>
      <w:bookmarkEnd w:id="166"/>
      <w:bookmarkEnd w:id="175"/>
      <w:bookmarkEnd w:id="176"/>
      <w:bookmarkEnd w:id="177"/>
      <w:bookmarkEnd w:id="178"/>
    </w:p>
    <w:p>
      <w:pPr>
        <w:spacing w:line="360" w:lineRule="auto"/>
        <w:ind w:left="105" w:leftChars="50" w:firstLine="2"/>
        <w:rPr>
          <w:rFonts w:ascii="宋体" w:hAnsi="宋体" w:cs="宋体"/>
          <w:b/>
          <w:color w:val="auto"/>
          <w:highlight w:val="none"/>
        </w:rPr>
      </w:pPr>
      <w:r>
        <w:rPr>
          <w:rFonts w:hint="eastAsia" w:ascii="宋体" w:hAnsi="宋体" w:cs="宋体"/>
          <w:b/>
          <w:color w:val="auto"/>
          <w:highlight w:val="none"/>
        </w:rPr>
        <w:t>致：中达安股份有限公司</w:t>
      </w:r>
    </w:p>
    <w:p>
      <w:pPr>
        <w:spacing w:line="360" w:lineRule="auto"/>
        <w:ind w:left="105" w:leftChars="50" w:firstLine="373" w:firstLineChars="178"/>
        <w:rPr>
          <w:rFonts w:ascii="宋体" w:hAnsi="宋体" w:cs="宋体"/>
          <w:color w:val="auto"/>
          <w:highlight w:val="none"/>
        </w:rPr>
      </w:pPr>
      <w:r>
        <w:rPr>
          <w:rFonts w:hint="eastAsia" w:ascii="宋体" w:hAnsi="宋体" w:cs="宋体"/>
          <w:color w:val="auto"/>
          <w:highlight w:val="none"/>
        </w:rPr>
        <w:t>我方确认收到贵方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南海出入境边防检查站物业管理服务项目</w:t>
      </w:r>
      <w:r>
        <w:rPr>
          <w:rFonts w:hint="eastAsia" w:ascii="宋体" w:hAnsi="宋体" w:cs="宋体"/>
          <w:color w:val="auto"/>
          <w:highlight w:val="none"/>
          <w:u w:val="single"/>
        </w:rPr>
        <w:t xml:space="preserve"> </w:t>
      </w:r>
      <w:r>
        <w:rPr>
          <w:rFonts w:hint="eastAsia" w:ascii="宋体" w:hAnsi="宋体" w:cs="宋体"/>
          <w:color w:val="auto"/>
          <w:highlight w:val="none"/>
        </w:rPr>
        <w:t>的招标文件（项目编号：</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ZDAZB-FS-2021020</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(投标人名称、地址)</w:t>
      </w:r>
      <w:r>
        <w:rPr>
          <w:rFonts w:hint="eastAsia" w:ascii="宋体" w:hAnsi="宋体" w:cs="宋体"/>
          <w:color w:val="auto"/>
          <w:highlight w:val="none"/>
        </w:rPr>
        <w:t>作为投标人已正式授权</w:t>
      </w:r>
      <w:r>
        <w:rPr>
          <w:rFonts w:hint="eastAsia" w:ascii="宋体" w:hAnsi="宋体" w:cs="宋体"/>
          <w:color w:val="auto"/>
          <w:highlight w:val="none"/>
          <w:u w:val="single"/>
        </w:rPr>
        <w:t xml:space="preserve"> (被投标人授权代表全名、职务)</w:t>
      </w:r>
      <w:r>
        <w:rPr>
          <w:rFonts w:hint="eastAsia" w:ascii="宋体" w:hAnsi="宋体" w:cs="宋体"/>
          <w:color w:val="auto"/>
          <w:highlight w:val="none"/>
        </w:rPr>
        <w:t>为我方签名代表，签名代表在此声明并同意：</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eastAsia="zh-CN"/>
        </w:rPr>
        <w:t>我方</w:t>
      </w:r>
      <w:r>
        <w:rPr>
          <w:rFonts w:hint="eastAsia" w:ascii="宋体" w:hAnsi="宋体" w:cs="宋体"/>
          <w:bCs/>
          <w:color w:val="auto"/>
          <w:highlight w:val="none"/>
        </w:rPr>
        <w:t>愿意遵守采购代理机构招标文件的各项规定，自愿参加投标，并已清楚招标文件的要求及有关文件规定，并严格按照招标文件的规定履行全部责任和义务。</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eastAsia="zh-CN"/>
        </w:rPr>
        <w:t>我方</w:t>
      </w:r>
      <w:r>
        <w:rPr>
          <w:rFonts w:hint="eastAsia" w:ascii="宋体" w:hAnsi="宋体" w:cs="宋体"/>
          <w:bCs/>
          <w:color w:val="auto"/>
          <w:highlight w:val="none"/>
        </w:rPr>
        <w:t>同意本投标文件的投标有效期从提交投标文件的截止之日起</w:t>
      </w:r>
      <w:r>
        <w:rPr>
          <w:rFonts w:hint="eastAsia" w:ascii="宋体" w:hAnsi="宋体" w:cs="宋体"/>
          <w:bCs/>
          <w:color w:val="auto"/>
          <w:highlight w:val="none"/>
          <w:u w:val="single"/>
        </w:rPr>
        <w:t>90</w:t>
      </w:r>
      <w:r>
        <w:rPr>
          <w:rFonts w:hint="eastAsia" w:ascii="宋体" w:hAnsi="宋体" w:cs="宋体"/>
          <w:bCs/>
          <w:color w:val="auto"/>
          <w:highlight w:val="none"/>
        </w:rPr>
        <w:t>日历日内有效。如果</w:t>
      </w:r>
      <w:r>
        <w:rPr>
          <w:rFonts w:hint="eastAsia" w:ascii="宋体" w:hAnsi="宋体" w:cs="宋体"/>
          <w:bCs/>
          <w:color w:val="auto"/>
          <w:highlight w:val="none"/>
          <w:lang w:eastAsia="zh-CN"/>
        </w:rPr>
        <w:t>我方</w:t>
      </w:r>
      <w:r>
        <w:rPr>
          <w:rFonts w:hint="eastAsia" w:ascii="宋体" w:hAnsi="宋体" w:cs="宋体"/>
          <w:bCs/>
          <w:color w:val="auto"/>
          <w:highlight w:val="none"/>
        </w:rPr>
        <w:t>的投标被接受，则直至合同生效时止，本投标始终有效并不撤回已递交的投标文件。</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eastAsia="zh-CN"/>
        </w:rPr>
        <w:t>我方</w:t>
      </w:r>
      <w:r>
        <w:rPr>
          <w:rFonts w:hint="eastAsia" w:ascii="宋体" w:hAnsi="宋体" w:cs="宋体"/>
          <w:bCs/>
          <w:color w:val="auto"/>
          <w:highlight w:val="none"/>
        </w:rPr>
        <w:t>已经详细地阅读并完全明白了全部招标文件及附件，包括澄清（如有）及参考文件，</w:t>
      </w:r>
      <w:r>
        <w:rPr>
          <w:rFonts w:hint="eastAsia" w:ascii="宋体" w:hAnsi="宋体" w:cs="宋体"/>
          <w:bCs/>
          <w:color w:val="auto"/>
          <w:highlight w:val="none"/>
          <w:lang w:eastAsia="zh-CN"/>
        </w:rPr>
        <w:t>我方</w:t>
      </w:r>
      <w:r>
        <w:rPr>
          <w:rFonts w:hint="eastAsia" w:ascii="宋体" w:hAnsi="宋体" w:cs="宋体"/>
          <w:bCs/>
          <w:color w:val="auto"/>
          <w:highlight w:val="none"/>
        </w:rPr>
        <w:t>完全理解本招标文件的要求，</w:t>
      </w:r>
      <w:r>
        <w:rPr>
          <w:rFonts w:hint="eastAsia" w:ascii="宋体" w:hAnsi="宋体" w:cs="宋体"/>
          <w:bCs/>
          <w:color w:val="auto"/>
          <w:highlight w:val="none"/>
          <w:lang w:eastAsia="zh-CN"/>
        </w:rPr>
        <w:t>我方</w:t>
      </w:r>
      <w:r>
        <w:rPr>
          <w:rFonts w:hint="eastAsia" w:ascii="宋体" w:hAnsi="宋体" w:cs="宋体"/>
          <w:bCs/>
          <w:color w:val="auto"/>
          <w:highlight w:val="none"/>
        </w:rPr>
        <w:t>同意放弃对招标文件提出不明或误解的一切权力。</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eastAsia="zh-CN"/>
        </w:rPr>
        <w:t>我方</w:t>
      </w:r>
      <w:r>
        <w:rPr>
          <w:rFonts w:hint="eastAsia" w:ascii="宋体" w:hAnsi="宋体" w:cs="宋体"/>
          <w:bCs/>
          <w:color w:val="auto"/>
          <w:highlight w:val="none"/>
        </w:rPr>
        <w:t>同意提供</w:t>
      </w:r>
      <w:r>
        <w:rPr>
          <w:rFonts w:hint="eastAsia" w:ascii="宋体" w:hAnsi="宋体" w:cs="宋体"/>
          <w:bCs/>
          <w:color w:val="auto"/>
          <w:szCs w:val="21"/>
          <w:highlight w:val="none"/>
          <w:lang w:eastAsia="zh-TW"/>
        </w:rPr>
        <w:t>采购人或者采购代理机构</w:t>
      </w:r>
      <w:r>
        <w:rPr>
          <w:rFonts w:hint="eastAsia" w:ascii="宋体" w:hAnsi="宋体" w:cs="宋体"/>
          <w:bCs/>
          <w:color w:val="auto"/>
          <w:highlight w:val="none"/>
        </w:rPr>
        <w:t>与评标委员会要求的有关投标的一切数据或资料。</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eastAsia="zh-CN"/>
        </w:rPr>
        <w:t>我方</w:t>
      </w:r>
      <w:r>
        <w:rPr>
          <w:rFonts w:hint="eastAsia" w:ascii="宋体" w:hAnsi="宋体" w:cs="宋体"/>
          <w:bCs/>
          <w:color w:val="auto"/>
          <w:highlight w:val="none"/>
        </w:rPr>
        <w:t>理解</w:t>
      </w:r>
      <w:r>
        <w:rPr>
          <w:rFonts w:hint="eastAsia" w:ascii="宋体" w:hAnsi="宋体" w:cs="宋体"/>
          <w:bCs/>
          <w:color w:val="auto"/>
          <w:szCs w:val="21"/>
          <w:highlight w:val="none"/>
          <w:lang w:eastAsia="zh-TW"/>
        </w:rPr>
        <w:t>采购人或者采购代理机构</w:t>
      </w:r>
      <w:r>
        <w:rPr>
          <w:rFonts w:hint="eastAsia" w:ascii="宋体" w:hAnsi="宋体" w:cs="宋体"/>
          <w:bCs/>
          <w:color w:val="auto"/>
          <w:highlight w:val="none"/>
        </w:rPr>
        <w:t>与评标委员会并无义务必须接受最低报价的投标或其它任何投标，完全理解采购代理机构拒绝迟到的任何投标和最低投标报价不是被授予中标的唯一条件。</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rPr>
        <w:t>如果</w:t>
      </w:r>
      <w:r>
        <w:rPr>
          <w:rFonts w:hint="eastAsia" w:ascii="宋体" w:hAnsi="宋体" w:cs="宋体"/>
          <w:bCs/>
          <w:color w:val="auto"/>
          <w:highlight w:val="none"/>
          <w:lang w:eastAsia="zh-CN"/>
        </w:rPr>
        <w:t>我方</w:t>
      </w:r>
      <w:r>
        <w:rPr>
          <w:rFonts w:hint="eastAsia" w:ascii="宋体" w:hAnsi="宋体" w:cs="宋体"/>
          <w:bCs/>
          <w:color w:val="auto"/>
          <w:highlight w:val="none"/>
        </w:rPr>
        <w:t xml:space="preserve">未对招标文件全部要求作出实质性响应，则完全同意并接受按无效投标处理。 </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eastAsia="zh-CN"/>
        </w:rPr>
        <w:t>我方</w:t>
      </w:r>
      <w:r>
        <w:rPr>
          <w:rFonts w:hint="eastAsia" w:ascii="宋体" w:hAnsi="宋体" w:cs="宋体"/>
          <w:bCs/>
          <w:color w:val="auto"/>
          <w:highlight w:val="none"/>
        </w:rPr>
        <w:t>证明提交的一切文件，无论是原件还是复印件均为准确、真实、有效、完整的，绝无任何虚假、伪造或者夸大。</w:t>
      </w:r>
      <w:r>
        <w:rPr>
          <w:rFonts w:hint="eastAsia" w:ascii="宋体" w:hAnsi="宋体" w:cs="宋体"/>
          <w:bCs/>
          <w:color w:val="auto"/>
          <w:highlight w:val="none"/>
          <w:lang w:eastAsia="zh-CN"/>
        </w:rPr>
        <w:t>我方</w:t>
      </w:r>
      <w:r>
        <w:rPr>
          <w:rFonts w:hint="eastAsia" w:ascii="宋体" w:hAnsi="宋体" w:cs="宋体"/>
          <w:bCs/>
          <w:color w:val="auto"/>
          <w:highlight w:val="none"/>
        </w:rPr>
        <w:t>在此郑重承诺：在本次招标采购活动中，如有违法、违规、弄虚作假行为，所造成的损失、不良后果及法律责任，一律由</w:t>
      </w:r>
      <w:r>
        <w:rPr>
          <w:rFonts w:hint="eastAsia" w:ascii="宋体" w:hAnsi="宋体" w:cs="宋体"/>
          <w:bCs/>
          <w:color w:val="auto"/>
          <w:highlight w:val="none"/>
          <w:lang w:eastAsia="zh-CN"/>
        </w:rPr>
        <w:t>我方</w:t>
      </w:r>
      <w:r>
        <w:rPr>
          <w:rFonts w:hint="eastAsia" w:ascii="宋体" w:hAnsi="宋体" w:cs="宋体"/>
          <w:bCs/>
          <w:color w:val="auto"/>
          <w:highlight w:val="none"/>
        </w:rPr>
        <w:t>承担。</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rPr>
        <w:t>如果</w:t>
      </w:r>
      <w:r>
        <w:rPr>
          <w:rFonts w:hint="eastAsia" w:ascii="宋体" w:hAnsi="宋体" w:cs="宋体"/>
          <w:bCs/>
          <w:color w:val="auto"/>
          <w:highlight w:val="none"/>
          <w:lang w:eastAsia="zh-CN"/>
        </w:rPr>
        <w:t>我方</w:t>
      </w:r>
      <w:r>
        <w:rPr>
          <w:rFonts w:hint="eastAsia" w:ascii="宋体" w:hAnsi="宋体" w:cs="宋体"/>
          <w:bCs/>
          <w:color w:val="auto"/>
          <w:highlight w:val="none"/>
        </w:rPr>
        <w:t>提供的声明或承诺不真实，则完全同意认定为我司提供虚假材料，并同意作相应处理。</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lang w:val="en-US" w:eastAsia="zh-CN"/>
        </w:rPr>
        <w:t>我方</w:t>
      </w:r>
      <w:r>
        <w:rPr>
          <w:rFonts w:hint="eastAsia" w:ascii="宋体" w:hAnsi="宋体" w:cs="宋体"/>
          <w:bCs/>
          <w:color w:val="auto"/>
          <w:highlight w:val="none"/>
        </w:rPr>
        <w:t>在法律、财务及运作上完全独立于本项目采购人、用户单位（如有）和采购代理机构。</w:t>
      </w:r>
    </w:p>
    <w:p>
      <w:pPr>
        <w:numPr>
          <w:ilvl w:val="0"/>
          <w:numId w:val="50"/>
        </w:numPr>
        <w:tabs>
          <w:tab w:val="clear" w:pos="780"/>
        </w:tabs>
        <w:snapToGrid w:val="0"/>
        <w:spacing w:line="360" w:lineRule="auto"/>
        <w:ind w:left="426"/>
        <w:rPr>
          <w:rFonts w:ascii="宋体" w:hAnsi="宋体" w:cs="宋体"/>
          <w:bCs/>
          <w:color w:val="auto"/>
          <w:highlight w:val="none"/>
        </w:rPr>
      </w:pPr>
      <w:r>
        <w:rPr>
          <w:rFonts w:hint="eastAsia" w:ascii="宋体" w:hAnsi="宋体" w:cs="宋体"/>
          <w:bCs/>
          <w:color w:val="auto"/>
          <w:highlight w:val="none"/>
        </w:rPr>
        <w:t>所有有关本次投标的函电请寄：</w:t>
      </w:r>
      <w:r>
        <w:rPr>
          <w:rFonts w:hint="eastAsia" w:ascii="宋体" w:hAnsi="宋体" w:cs="宋体"/>
          <w:bCs/>
          <w:color w:val="auto"/>
          <w:highlight w:val="none"/>
          <w:u w:val="single"/>
        </w:rPr>
        <w:t xml:space="preserve">  （投标人地址）   </w:t>
      </w:r>
    </w:p>
    <w:p>
      <w:pPr>
        <w:autoSpaceDE w:val="0"/>
        <w:autoSpaceDN w:val="0"/>
        <w:adjustRightInd w:val="0"/>
        <w:spacing w:line="360" w:lineRule="auto"/>
        <w:rPr>
          <w:rFonts w:ascii="宋体" w:hAnsi="宋体" w:cs="宋体"/>
          <w:bCs/>
          <w:color w:val="auto"/>
          <w:highlight w:val="none"/>
        </w:rPr>
      </w:pPr>
      <w:bookmarkStart w:id="179" w:name="_Hlk500945976"/>
      <w:r>
        <w:rPr>
          <w:rFonts w:hint="eastAsia" w:ascii="宋体" w:hAnsi="宋体" w:cs="宋体"/>
          <w:bCs/>
          <w:color w:val="auto"/>
          <w:highlight w:val="none"/>
        </w:rPr>
        <w:t>备注：1、投标函中承诺的投标有效期应当不少于招标文件中载明的投标有效期，否则视为无效投标。</w:t>
      </w:r>
    </w:p>
    <w:p>
      <w:pPr>
        <w:autoSpaceDE w:val="0"/>
        <w:autoSpaceDN w:val="0"/>
        <w:adjustRightInd w:val="0"/>
        <w:spacing w:line="360" w:lineRule="auto"/>
        <w:ind w:firstLine="525" w:firstLineChars="250"/>
        <w:rPr>
          <w:rFonts w:ascii="宋体" w:hAnsi="宋体" w:cs="宋体"/>
          <w:color w:val="auto"/>
          <w:highlight w:val="none"/>
        </w:rPr>
      </w:pPr>
      <w:r>
        <w:rPr>
          <w:rFonts w:hint="eastAsia" w:ascii="宋体" w:hAnsi="宋体" w:cs="宋体"/>
          <w:bCs/>
          <w:color w:val="auto"/>
          <w:highlight w:val="none"/>
        </w:rPr>
        <w:t>2、除投标有效期承诺的时间外，本投标函内容不得擅自删改，否则视为无效投标。</w:t>
      </w:r>
      <w:r>
        <w:rPr>
          <w:rFonts w:hint="eastAsia" w:ascii="宋体" w:hAnsi="宋体" w:cs="宋体"/>
          <w:b/>
          <w:color w:val="auto"/>
          <w:highlight w:val="none"/>
        </w:rPr>
        <w:t xml:space="preserve"> </w:t>
      </w:r>
      <w:bookmarkEnd w:id="179"/>
    </w:p>
    <w:p>
      <w:pPr>
        <w:spacing w:line="500" w:lineRule="exact"/>
        <w:ind w:left="420"/>
        <w:rPr>
          <w:rFonts w:ascii="宋体" w:hAnsi="宋体" w:cs="宋体"/>
          <w:color w:val="auto"/>
          <w:spacing w:val="4"/>
          <w:highlight w:val="none"/>
        </w:rPr>
      </w:pPr>
      <w:r>
        <w:rPr>
          <w:rFonts w:hint="eastAsia" w:ascii="宋体" w:hAnsi="宋体" w:cs="宋体"/>
          <w:color w:val="auto"/>
          <w:spacing w:val="4"/>
          <w:highlight w:val="none"/>
        </w:rPr>
        <w:t>投标人名称（单位盖公章）：</w:t>
      </w:r>
    </w:p>
    <w:p>
      <w:pPr>
        <w:spacing w:line="500" w:lineRule="exact"/>
        <w:ind w:left="420"/>
        <w:rPr>
          <w:rFonts w:ascii="宋体" w:hAnsi="宋体" w:cs="宋体"/>
          <w:color w:val="auto"/>
          <w:spacing w:val="4"/>
          <w:highlight w:val="none"/>
        </w:rPr>
      </w:pPr>
      <w:r>
        <w:rPr>
          <w:rFonts w:hint="eastAsia" w:ascii="宋体" w:hAnsi="宋体" w:cs="宋体"/>
          <w:color w:val="auto"/>
          <w:spacing w:val="4"/>
          <w:highlight w:val="none"/>
        </w:rPr>
        <w:t xml:space="preserve">法定代表人或投标人授权代表（签名或盖章）：   </w:t>
      </w:r>
    </w:p>
    <w:p>
      <w:pPr>
        <w:spacing w:line="500" w:lineRule="exact"/>
        <w:ind w:left="420"/>
        <w:rPr>
          <w:rFonts w:ascii="宋体" w:hAnsi="宋体" w:cs="宋体"/>
          <w:color w:val="auto"/>
          <w:spacing w:val="4"/>
          <w:highlight w:val="none"/>
        </w:rPr>
      </w:pPr>
      <w:r>
        <w:rPr>
          <w:rFonts w:hint="eastAsia" w:ascii="宋体" w:hAnsi="宋体" w:cs="宋体"/>
          <w:color w:val="auto"/>
          <w:spacing w:val="4"/>
          <w:highlight w:val="none"/>
        </w:rPr>
        <w:t>职务：    日期</w:t>
      </w:r>
    </w:p>
    <w:p>
      <w:pPr>
        <w:spacing w:line="500" w:lineRule="exact"/>
        <w:ind w:left="420"/>
        <w:rPr>
          <w:rFonts w:ascii="宋体" w:hAnsi="宋体" w:cs="宋体"/>
          <w:color w:val="auto"/>
          <w:spacing w:val="4"/>
          <w:highlight w:val="none"/>
        </w:rPr>
      </w:pPr>
      <w:r>
        <w:rPr>
          <w:rFonts w:hint="eastAsia" w:ascii="宋体" w:hAnsi="宋体" w:cs="宋体"/>
          <w:color w:val="auto"/>
          <w:spacing w:val="4"/>
          <w:highlight w:val="none"/>
        </w:rPr>
        <w:t>电话：    传真：   邮编：</w:t>
      </w:r>
    </w:p>
    <w:p>
      <w:pPr>
        <w:adjustRightInd w:val="0"/>
        <w:snapToGrid w:val="0"/>
        <w:spacing w:line="360" w:lineRule="auto"/>
        <w:ind w:firstLine="576" w:firstLineChars="206"/>
        <w:rPr>
          <w:rFonts w:ascii="宋体" w:hAnsi="宋体" w:cs="宋体"/>
          <w:bCs/>
          <w:color w:val="auto"/>
          <w:sz w:val="28"/>
          <w:highlight w:val="none"/>
        </w:rPr>
        <w:sectPr>
          <w:pgSz w:w="11906" w:h="16838"/>
          <w:pgMar w:top="1440" w:right="1440" w:bottom="1440" w:left="1440" w:header="851" w:footer="992" w:gutter="0"/>
          <w:pgNumType w:fmt="decimal"/>
          <w:cols w:space="720" w:num="1"/>
          <w:docGrid w:type="lines" w:linePitch="312" w:charSpace="0"/>
        </w:sectPr>
      </w:pPr>
    </w:p>
    <w:p>
      <w:pPr>
        <w:pStyle w:val="4"/>
        <w:adjustRightInd w:val="0"/>
        <w:snapToGrid w:val="0"/>
        <w:spacing w:beforeLines="50" w:afterLines="50" w:line="360" w:lineRule="auto"/>
        <w:jc w:val="center"/>
        <w:rPr>
          <w:rFonts w:ascii="宋体" w:hAnsi="宋体" w:eastAsia="宋体" w:cs="宋体"/>
          <w:bCs w:val="0"/>
          <w:color w:val="auto"/>
          <w:highlight w:val="none"/>
        </w:rPr>
      </w:pPr>
      <w:bookmarkStart w:id="180" w:name="_Toc275865606"/>
      <w:bookmarkStart w:id="181" w:name="_Toc26573"/>
      <w:bookmarkStart w:id="182" w:name="_Toc435515295"/>
      <w:bookmarkStart w:id="183" w:name="_Toc27803"/>
      <w:bookmarkStart w:id="184" w:name="_Toc435514855"/>
      <w:bookmarkStart w:id="185" w:name="_Toc2153"/>
      <w:bookmarkStart w:id="186" w:name="_Toc520812008"/>
      <w:r>
        <w:rPr>
          <w:rFonts w:hint="eastAsia" w:ascii="宋体" w:hAnsi="宋体" w:eastAsia="宋体" w:cs="宋体"/>
          <w:bCs w:val="0"/>
          <w:color w:val="auto"/>
          <w:highlight w:val="none"/>
        </w:rPr>
        <w:t>投标人资格声明函</w:t>
      </w:r>
      <w:bookmarkEnd w:id="180"/>
      <w:bookmarkEnd w:id="181"/>
      <w:bookmarkEnd w:id="182"/>
      <w:bookmarkEnd w:id="183"/>
      <w:bookmarkEnd w:id="184"/>
      <w:bookmarkEnd w:id="185"/>
      <w:bookmarkEnd w:id="186"/>
    </w:p>
    <w:p>
      <w:pPr>
        <w:rPr>
          <w:rFonts w:ascii="宋体" w:hAnsi="宋体" w:cs="宋体"/>
          <w:b/>
          <w:color w:val="auto"/>
          <w:highlight w:val="none"/>
        </w:rPr>
      </w:pPr>
      <w:r>
        <w:rPr>
          <w:rFonts w:hint="eastAsia" w:ascii="宋体" w:hAnsi="宋体" w:cs="宋体"/>
          <w:b/>
          <w:color w:val="auto"/>
          <w:highlight w:val="none"/>
        </w:rPr>
        <w:t>中达安股份有限公司：</w:t>
      </w:r>
    </w:p>
    <w:p>
      <w:pPr>
        <w:snapToGrid w:val="0"/>
        <w:spacing w:beforeLines="50" w:line="360" w:lineRule="auto"/>
        <w:ind w:firstLine="424" w:firstLineChars="202"/>
        <w:rPr>
          <w:rFonts w:ascii="宋体" w:hAnsi="宋体" w:cs="宋体"/>
          <w:color w:val="auto"/>
          <w:highlight w:val="none"/>
        </w:rPr>
      </w:pPr>
      <w:r>
        <w:rPr>
          <w:rFonts w:hint="eastAsia" w:ascii="宋体" w:hAnsi="宋体" w:cs="宋体"/>
          <w:color w:val="auto"/>
          <w:highlight w:val="none"/>
        </w:rPr>
        <w:t>关于贵公司</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bookmarkStart w:id="187" w:name="_Hlk499623544"/>
      <w:r>
        <w:rPr>
          <w:rFonts w:hint="eastAsia" w:ascii="宋体" w:hAnsi="宋体" w:cs="宋体"/>
          <w:color w:val="auto"/>
          <w:highlight w:val="none"/>
        </w:rPr>
        <w:t>发布</w:t>
      </w:r>
      <w:bookmarkEnd w:id="187"/>
      <w:r>
        <w:rPr>
          <w:rFonts w:hint="eastAsia" w:ascii="宋体" w:hAnsi="宋体" w:cs="宋体"/>
          <w:color w:val="auto"/>
          <w:highlight w:val="none"/>
          <w:u w:val="single"/>
          <w:lang w:eastAsia="zh-CN"/>
        </w:rPr>
        <w:t>南海出入境边防检查站物业管理服务项目</w:t>
      </w:r>
      <w:r>
        <w:rPr>
          <w:rFonts w:hint="eastAsia" w:ascii="宋体" w:hAnsi="宋体" w:cs="宋体"/>
          <w:color w:val="auto"/>
          <w:highlight w:val="none"/>
        </w:rPr>
        <w:t>（项目编号：</w:t>
      </w:r>
      <w:r>
        <w:rPr>
          <w:rFonts w:hint="eastAsia" w:ascii="宋体" w:hAnsi="宋体" w:cs="宋体"/>
          <w:color w:val="auto"/>
          <w:highlight w:val="none"/>
          <w:u w:val="single"/>
          <w:lang w:eastAsia="zh-CN"/>
        </w:rPr>
        <w:t>ZDAZB-FS-2021020</w:t>
      </w:r>
      <w:r>
        <w:rPr>
          <w:rFonts w:hint="eastAsia" w:ascii="宋体" w:hAnsi="宋体" w:cs="宋体"/>
          <w:color w:val="auto"/>
          <w:highlight w:val="none"/>
        </w:rPr>
        <w:t>）的采购公告，</w:t>
      </w:r>
      <w:r>
        <w:rPr>
          <w:rFonts w:hint="eastAsia" w:ascii="宋体" w:hAnsi="宋体" w:cs="宋体"/>
          <w:color w:val="auto"/>
          <w:highlight w:val="none"/>
          <w:lang w:val="en-US" w:eastAsia="zh-CN"/>
        </w:rPr>
        <w:t>我方</w:t>
      </w:r>
      <w:r>
        <w:rPr>
          <w:rFonts w:hint="eastAsia" w:ascii="宋体" w:hAnsi="宋体" w:cs="宋体"/>
          <w:color w:val="auto"/>
          <w:highlight w:val="none"/>
        </w:rPr>
        <w:t>愿意参加投标，并声明</w:t>
      </w:r>
      <w:r>
        <w:rPr>
          <w:rFonts w:hint="eastAsia" w:ascii="宋体" w:hAnsi="宋体" w:cs="宋体"/>
          <w:color w:val="auto"/>
          <w:highlight w:val="none"/>
          <w:lang w:val="en-US" w:eastAsia="zh-CN"/>
        </w:rPr>
        <w:t>如下</w:t>
      </w:r>
      <w:r>
        <w:rPr>
          <w:rFonts w:hint="eastAsia" w:ascii="宋体" w:hAnsi="宋体" w:cs="宋体"/>
          <w:color w:val="auto"/>
          <w:highlight w:val="none"/>
        </w:rPr>
        <w:t>：</w:t>
      </w:r>
    </w:p>
    <w:p>
      <w:pPr>
        <w:pStyle w:val="81"/>
        <w:numPr>
          <w:ilvl w:val="0"/>
          <w:numId w:val="51"/>
        </w:numPr>
        <w:snapToGrid w:val="0"/>
        <w:spacing w:line="360" w:lineRule="auto"/>
        <w:ind w:left="846" w:firstLineChars="0"/>
        <w:rPr>
          <w:rFonts w:ascii="宋体" w:hAnsi="宋体" w:cs="宋体"/>
          <w:bCs/>
          <w:color w:val="auto"/>
          <w:szCs w:val="20"/>
          <w:highlight w:val="none"/>
        </w:rPr>
      </w:pPr>
      <w:bookmarkStart w:id="188" w:name="_Hlk499026685"/>
      <w:r>
        <w:rPr>
          <w:rFonts w:hint="eastAsia" w:ascii="宋体" w:hAnsi="宋体" w:cs="宋体"/>
          <w:color w:val="auto"/>
          <w:highlight w:val="none"/>
          <w:lang w:val="en-US" w:eastAsia="zh-CN"/>
        </w:rPr>
        <w:t>我方</w:t>
      </w:r>
      <w:r>
        <w:rPr>
          <w:rFonts w:hint="eastAsia" w:ascii="宋体" w:hAnsi="宋体" w:cs="宋体"/>
          <w:bCs/>
          <w:color w:val="auto"/>
          <w:szCs w:val="20"/>
          <w:highlight w:val="none"/>
        </w:rPr>
        <w:t>具备</w:t>
      </w:r>
      <w:bookmarkStart w:id="189" w:name="_Hlk498935236"/>
      <w:r>
        <w:rPr>
          <w:rFonts w:hint="eastAsia" w:ascii="宋体" w:hAnsi="宋体" w:cs="宋体"/>
          <w:bCs/>
          <w:color w:val="auto"/>
          <w:szCs w:val="20"/>
          <w:highlight w:val="none"/>
        </w:rPr>
        <w:t>《中华人民共和国政府采购法》</w:t>
      </w:r>
      <w:bookmarkEnd w:id="189"/>
      <w:r>
        <w:rPr>
          <w:rFonts w:hint="eastAsia" w:ascii="宋体" w:hAnsi="宋体" w:cs="宋体"/>
          <w:bCs/>
          <w:color w:val="auto"/>
          <w:szCs w:val="20"/>
          <w:highlight w:val="none"/>
        </w:rPr>
        <w:t>第二十二条规定的条件：</w:t>
      </w:r>
    </w:p>
    <w:p>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（一）具有独立承担民事责任的能力；</w:t>
      </w:r>
    </w:p>
    <w:p>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 xml:space="preserve">（二）具有良好的商业信誉和健全的财务会计制度； </w:t>
      </w:r>
    </w:p>
    <w:p>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（三）具有履行合同所必需的设备和专业技术能力；</w:t>
      </w:r>
    </w:p>
    <w:p>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（四）有依法缴纳税收和社会保障资金的良好记录；</w:t>
      </w:r>
    </w:p>
    <w:p>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（五）参加政府采购活动前三年内，在经营活动中没有重大违法记录；</w:t>
      </w:r>
    </w:p>
    <w:p>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（六）法律、行政法规规定的其他条件。</w:t>
      </w:r>
    </w:p>
    <w:p>
      <w:pPr>
        <w:pStyle w:val="81"/>
        <w:numPr>
          <w:ilvl w:val="0"/>
          <w:numId w:val="51"/>
        </w:numPr>
        <w:snapToGrid w:val="0"/>
        <w:spacing w:line="360" w:lineRule="auto"/>
        <w:ind w:left="846" w:firstLineChars="0"/>
        <w:rPr>
          <w:rFonts w:ascii="宋体" w:hAnsi="宋体" w:cs="宋体"/>
          <w:color w:val="auto"/>
          <w:highlight w:val="none"/>
        </w:rPr>
      </w:pPr>
      <w:r>
        <w:rPr>
          <w:rFonts w:hint="eastAsia" w:ascii="宋体" w:hAnsi="宋体" w:cs="宋体"/>
          <w:color w:val="auto"/>
          <w:highlight w:val="none"/>
          <w:lang w:val="en-US" w:eastAsia="zh-CN"/>
        </w:rPr>
        <w:t>我方</w:t>
      </w:r>
      <w:r>
        <w:rPr>
          <w:rFonts w:hint="eastAsia" w:ascii="宋体" w:hAnsi="宋体" w:cs="宋体"/>
          <w:color w:val="auto"/>
          <w:highlight w:val="none"/>
        </w:rPr>
        <w:t>的单位负责人与所参投的本采购项目的其他投标人的单位负责人不为同一人且与其他投标人之间不存在直接控股、管理关系</w:t>
      </w:r>
      <w:r>
        <w:rPr>
          <w:rFonts w:hint="eastAsia" w:ascii="宋体" w:hAnsi="宋体" w:cs="宋体"/>
          <w:color w:val="auto"/>
          <w:szCs w:val="21"/>
          <w:highlight w:val="none"/>
        </w:rPr>
        <w:t>。</w:t>
      </w:r>
    </w:p>
    <w:p>
      <w:pPr>
        <w:pStyle w:val="81"/>
        <w:numPr>
          <w:ilvl w:val="0"/>
          <w:numId w:val="51"/>
        </w:numPr>
        <w:snapToGrid w:val="0"/>
        <w:spacing w:line="360" w:lineRule="auto"/>
        <w:ind w:left="846" w:firstLineChars="0"/>
        <w:rPr>
          <w:rFonts w:ascii="宋体" w:hAnsi="宋体" w:cs="宋体"/>
          <w:color w:val="auto"/>
          <w:highlight w:val="none"/>
        </w:rPr>
      </w:pPr>
      <w:r>
        <w:rPr>
          <w:rFonts w:hint="eastAsia" w:ascii="宋体" w:hAnsi="宋体" w:cs="宋体"/>
          <w:color w:val="auto"/>
          <w:highlight w:val="none"/>
        </w:rPr>
        <w:t>根据《中华人民共和国政府采购法实施条例》的规定，本公司（企业）如为本采购项目包组提供整体设计、规范编制或者项目管理、监理、检测等服务的供应商，不得再参加该采购项目的其他采购活动。否则，由此所造成的损失、不良后果及法律责任，一律由</w:t>
      </w:r>
      <w:r>
        <w:rPr>
          <w:rFonts w:hint="eastAsia" w:ascii="宋体" w:hAnsi="宋体" w:cs="宋体"/>
          <w:color w:val="auto"/>
          <w:highlight w:val="none"/>
          <w:lang w:val="en-US" w:eastAsia="zh-CN"/>
        </w:rPr>
        <w:t>我方</w:t>
      </w:r>
      <w:r>
        <w:rPr>
          <w:rFonts w:hint="eastAsia" w:ascii="宋体" w:hAnsi="宋体" w:cs="宋体"/>
          <w:color w:val="auto"/>
          <w:highlight w:val="none"/>
        </w:rPr>
        <w:t>承担。</w:t>
      </w:r>
    </w:p>
    <w:p>
      <w:pPr>
        <w:snapToGrid w:val="0"/>
        <w:spacing w:line="360" w:lineRule="auto"/>
        <w:ind w:firstLine="424" w:firstLineChars="202"/>
        <w:rPr>
          <w:rFonts w:ascii="宋体" w:hAnsi="宋体" w:cs="宋体"/>
          <w:color w:val="auto"/>
          <w:highlight w:val="none"/>
        </w:rPr>
      </w:pPr>
      <w:r>
        <w:rPr>
          <w:rFonts w:hint="eastAsia" w:ascii="宋体" w:hAnsi="宋体" w:cs="宋体"/>
          <w:color w:val="auto"/>
          <w:highlight w:val="none"/>
          <w:lang w:val="en-US" w:eastAsia="zh-CN"/>
        </w:rPr>
        <w:t>我方</w:t>
      </w:r>
      <w:r>
        <w:rPr>
          <w:rFonts w:hint="eastAsia" w:ascii="宋体" w:hAnsi="宋体" w:cs="宋体"/>
          <w:color w:val="auto"/>
          <w:highlight w:val="none"/>
        </w:rPr>
        <w:t>承诺在本次招标采购活动中，如有违法、违规</w:t>
      </w:r>
      <w:r>
        <w:rPr>
          <w:rFonts w:hint="eastAsia" w:ascii="宋体" w:hAnsi="宋体" w:cs="宋体"/>
          <w:color w:val="auto"/>
          <w:szCs w:val="21"/>
          <w:highlight w:val="none"/>
        </w:rPr>
        <w:t>、</w:t>
      </w:r>
      <w:r>
        <w:rPr>
          <w:rFonts w:hint="eastAsia" w:ascii="宋体" w:hAnsi="宋体" w:cs="宋体"/>
          <w:color w:val="auto"/>
          <w:highlight w:val="none"/>
        </w:rPr>
        <w:t>弄虚作假行为，所造成的损失、不良后果及法律责任，一律由</w:t>
      </w:r>
      <w:r>
        <w:rPr>
          <w:rFonts w:hint="eastAsia" w:ascii="宋体" w:hAnsi="宋体" w:cs="宋体"/>
          <w:color w:val="auto"/>
          <w:highlight w:val="none"/>
          <w:lang w:eastAsia="zh-CN"/>
        </w:rPr>
        <w:t>我方</w:t>
      </w:r>
      <w:r>
        <w:rPr>
          <w:rFonts w:hint="eastAsia" w:ascii="宋体" w:hAnsi="宋体" w:cs="宋体"/>
          <w:color w:val="auto"/>
          <w:highlight w:val="none"/>
        </w:rPr>
        <w:t>承担。</w:t>
      </w:r>
    </w:p>
    <w:p>
      <w:pPr>
        <w:spacing w:line="360" w:lineRule="auto"/>
        <w:ind w:firstLine="420"/>
        <w:rPr>
          <w:rFonts w:ascii="宋体" w:hAnsi="宋体" w:cs="宋体"/>
          <w:color w:val="auto"/>
          <w:highlight w:val="none"/>
        </w:rPr>
      </w:pPr>
      <w:r>
        <w:rPr>
          <w:rFonts w:hint="eastAsia" w:ascii="宋体" w:hAnsi="宋体" w:cs="宋体"/>
          <w:color w:val="auto"/>
          <w:highlight w:val="none"/>
        </w:rPr>
        <w:t>特此声明！</w:t>
      </w:r>
    </w:p>
    <w:p>
      <w:pPr>
        <w:autoSpaceDE w:val="0"/>
        <w:autoSpaceDN w:val="0"/>
        <w:adjustRightInd w:val="0"/>
        <w:spacing w:line="360" w:lineRule="auto"/>
        <w:rPr>
          <w:rFonts w:ascii="宋体" w:hAnsi="宋体" w:cs="宋体"/>
          <w:bCs/>
          <w:color w:val="auto"/>
          <w:highlight w:val="none"/>
        </w:rPr>
      </w:pPr>
      <w:bookmarkStart w:id="190" w:name="_Hlk498935255"/>
      <w:r>
        <w:rPr>
          <w:rFonts w:hint="eastAsia" w:ascii="宋体" w:hAnsi="宋体" w:cs="宋体"/>
          <w:bCs/>
          <w:color w:val="auto"/>
          <w:highlight w:val="none"/>
        </w:rPr>
        <w:t>备注：1.本声明函必须提供且内容不得擅自删改，否则视为无效投标。</w:t>
      </w:r>
    </w:p>
    <w:p>
      <w:pPr>
        <w:snapToGrid w:val="0"/>
        <w:spacing w:line="360" w:lineRule="auto"/>
        <w:ind w:firstLine="424" w:firstLineChars="202"/>
        <w:rPr>
          <w:rFonts w:ascii="宋体" w:hAnsi="宋体" w:cs="宋体"/>
          <w:bCs/>
          <w:color w:val="auto"/>
          <w:szCs w:val="21"/>
          <w:highlight w:val="none"/>
        </w:rPr>
      </w:pPr>
      <w:r>
        <w:rPr>
          <w:rFonts w:hint="eastAsia" w:ascii="宋体" w:hAnsi="宋体" w:cs="宋体"/>
          <w:bCs/>
          <w:color w:val="auto"/>
          <w:szCs w:val="21"/>
          <w:highlight w:val="none"/>
        </w:rPr>
        <w:t>2. 本声明函如有虚假或与事实不符的，作无效投标处理。</w:t>
      </w:r>
    </w:p>
    <w:bookmarkEnd w:id="188"/>
    <w:bookmarkEnd w:id="190"/>
    <w:p>
      <w:pPr>
        <w:autoSpaceDE w:val="0"/>
        <w:autoSpaceDN w:val="0"/>
        <w:adjustRightInd w:val="0"/>
        <w:spacing w:line="360" w:lineRule="auto"/>
        <w:rPr>
          <w:rFonts w:ascii="宋体" w:hAnsi="宋体" w:cs="宋体"/>
          <w:b/>
          <w:color w:val="auto"/>
          <w:highlight w:val="none"/>
        </w:rPr>
      </w:pPr>
    </w:p>
    <w:p>
      <w:pPr>
        <w:spacing w:line="360" w:lineRule="auto"/>
        <w:ind w:firstLine="420"/>
        <w:rPr>
          <w:rFonts w:ascii="宋体" w:hAnsi="宋体" w:cs="宋体"/>
          <w:color w:val="auto"/>
          <w:highlight w:val="none"/>
        </w:rPr>
      </w:pPr>
      <w:bookmarkStart w:id="191" w:name="_Hlk498935267"/>
      <w:r>
        <w:rPr>
          <w:rFonts w:hint="eastAsia" w:ascii="宋体" w:hAnsi="宋体" w:cs="宋体"/>
          <w:color w:val="auto"/>
          <w:highlight w:val="none"/>
        </w:rPr>
        <w:t>投标人名称：　　　　　　　　　　　　　　　法定代表人或投标人授权代表（签名或盖章）：</w:t>
      </w:r>
    </w:p>
    <w:p>
      <w:pPr>
        <w:spacing w:line="360" w:lineRule="auto"/>
        <w:ind w:firstLine="420"/>
        <w:rPr>
          <w:rFonts w:ascii="宋体" w:hAnsi="宋体" w:cs="宋体"/>
          <w:color w:val="auto"/>
          <w:highlight w:val="none"/>
        </w:rPr>
      </w:pPr>
      <w:r>
        <w:rPr>
          <w:rFonts w:hint="eastAsia" w:ascii="宋体" w:hAnsi="宋体" w:cs="宋体"/>
          <w:color w:val="auto"/>
          <w:highlight w:val="none"/>
        </w:rPr>
        <w:t>单位地址：　　　　　　　　　　　　　　　　单位公章：</w:t>
      </w:r>
    </w:p>
    <w:p>
      <w:pPr>
        <w:spacing w:line="360" w:lineRule="auto"/>
        <w:ind w:firstLine="420"/>
        <w:rPr>
          <w:rFonts w:ascii="宋体" w:hAnsi="宋体" w:cs="宋体"/>
          <w:color w:val="auto"/>
          <w:highlight w:val="none"/>
        </w:rPr>
      </w:pPr>
      <w:r>
        <w:rPr>
          <w:rFonts w:hint="eastAsia" w:ascii="宋体" w:hAnsi="宋体" w:cs="宋体"/>
          <w:color w:val="auto"/>
          <w:highlight w:val="none"/>
        </w:rPr>
        <w:t>邮政编码：　　　　　　　　　　　　　　　　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p>
    <w:bookmarkEnd w:id="191"/>
    <w:p>
      <w:pPr>
        <w:widowControl/>
        <w:jc w:val="left"/>
        <w:rPr>
          <w:rFonts w:ascii="宋体" w:hAnsi="宋体" w:cs="宋体"/>
          <w:b/>
          <w:color w:val="auto"/>
          <w:highlight w:val="none"/>
        </w:rPr>
      </w:pPr>
      <w:bookmarkStart w:id="192" w:name="_Hlk499035079"/>
    </w:p>
    <w:p>
      <w:pPr>
        <w:rPr>
          <w:rFonts w:ascii="宋体" w:hAnsi="宋体" w:cs="宋体"/>
          <w:color w:val="auto"/>
          <w:highlight w:val="none"/>
        </w:rPr>
        <w:sectPr>
          <w:pgSz w:w="11906" w:h="16838"/>
          <w:pgMar w:top="1440" w:right="1440" w:bottom="1440" w:left="1440" w:header="851" w:footer="992" w:gutter="0"/>
          <w:pgNumType w:fmt="decimal"/>
          <w:cols w:space="720" w:num="1"/>
          <w:docGrid w:type="lines" w:linePitch="312" w:charSpace="0"/>
        </w:sectPr>
      </w:pPr>
      <w:bookmarkStart w:id="193" w:name="_Hlk500946139"/>
    </w:p>
    <w:bookmarkEnd w:id="192"/>
    <w:bookmarkEnd w:id="193"/>
    <w:p>
      <w:pPr>
        <w:pStyle w:val="5"/>
        <w:keepLines/>
        <w:adjustRightInd w:val="0"/>
        <w:snapToGrid w:val="0"/>
        <w:spacing w:beforeLines="50" w:afterLines="50" w:line="360" w:lineRule="auto"/>
        <w:rPr>
          <w:rFonts w:ascii="宋体" w:eastAsia="宋体" w:cs="宋体"/>
          <w:color w:val="auto"/>
          <w:sz w:val="28"/>
          <w:szCs w:val="28"/>
          <w:highlight w:val="none"/>
        </w:rPr>
      </w:pPr>
      <w:bookmarkStart w:id="194" w:name="_承诺函"/>
      <w:bookmarkEnd w:id="194"/>
      <w:bookmarkStart w:id="195" w:name="_Toc13488"/>
      <w:bookmarkStart w:id="196" w:name="_Toc23756"/>
      <w:bookmarkStart w:id="197" w:name="_Toc25873"/>
      <w:bookmarkStart w:id="198" w:name="_Toc50737297"/>
      <w:bookmarkStart w:id="199" w:name="_Toc435515299"/>
      <w:bookmarkStart w:id="200" w:name="_Toc50736477"/>
      <w:bookmarkStart w:id="201" w:name="_Toc52165081"/>
      <w:bookmarkStart w:id="202" w:name="_Toc520812009"/>
      <w:bookmarkStart w:id="203" w:name="_Toc50737329"/>
      <w:bookmarkStart w:id="204" w:name="_Toc275865607"/>
      <w:bookmarkStart w:id="205" w:name="_Toc435514859"/>
      <w:bookmarkStart w:id="206" w:name="_Toc50737296"/>
      <w:bookmarkStart w:id="207" w:name="_Toc50691034"/>
      <w:bookmarkStart w:id="208" w:name="_Toc50736476"/>
      <w:bookmarkStart w:id="209" w:name="_Toc50737328"/>
      <w:bookmarkStart w:id="210" w:name="_Toc52165080"/>
      <w:r>
        <w:rPr>
          <w:rFonts w:hint="eastAsia" w:ascii="宋体" w:eastAsia="宋体" w:cs="宋体"/>
          <w:color w:val="auto"/>
          <w:sz w:val="28"/>
          <w:szCs w:val="28"/>
          <w:highlight w:val="none"/>
        </w:rPr>
        <w:t>附件1</w:t>
      </w:r>
      <w:bookmarkEnd w:id="195"/>
      <w:bookmarkEnd w:id="196"/>
      <w:r>
        <w:rPr>
          <w:rFonts w:hint="eastAsia" w:ascii="宋体" w:eastAsia="宋体" w:cs="宋体"/>
          <w:color w:val="auto"/>
          <w:sz w:val="28"/>
          <w:szCs w:val="28"/>
          <w:highlight w:val="none"/>
        </w:rPr>
        <w:t>身份证明</w:t>
      </w:r>
      <w:bookmarkEnd w:id="197"/>
    </w:p>
    <w:p>
      <w:pPr>
        <w:spacing w:line="360" w:lineRule="auto"/>
        <w:rPr>
          <w:rFonts w:ascii="宋体" w:hAnsi="宋体" w:cs="宋体"/>
          <w:color w:val="auto"/>
          <w:highlight w:val="none"/>
        </w:rPr>
      </w:pPr>
      <w:r>
        <w:rPr>
          <w:rFonts w:hint="eastAsia" w:ascii="宋体" w:hAnsi="宋体" w:cs="宋体"/>
          <w:color w:val="auto"/>
          <w:highlight w:val="none"/>
        </w:rPr>
        <w:t>注：</w:t>
      </w:r>
    </w:p>
    <w:p>
      <w:pPr>
        <w:numPr>
          <w:ilvl w:val="0"/>
          <w:numId w:val="52"/>
        </w:numPr>
        <w:spacing w:line="360" w:lineRule="auto"/>
        <w:rPr>
          <w:rFonts w:ascii="宋体" w:hAnsi="宋体" w:cs="宋体"/>
          <w:color w:val="auto"/>
          <w:highlight w:val="none"/>
        </w:rPr>
      </w:pPr>
      <w:r>
        <w:rPr>
          <w:rFonts w:hint="eastAsia" w:ascii="宋体" w:hAnsi="宋体" w:cs="宋体"/>
          <w:color w:val="auto"/>
          <w:highlight w:val="none"/>
        </w:rPr>
        <w:t>此项附《营业执照》或《事业单位法人证书》或《社会团体法人登记证书》等身份证明复印件；（分支机构投标，须取得具有法人资格的总公司（总所）出具给分支机构的授权书，并提供总公司（总所）和分支机构的营业执照（执业许可证）复印件。）</w:t>
      </w:r>
    </w:p>
    <w:p>
      <w:pPr>
        <w:numPr>
          <w:ilvl w:val="0"/>
          <w:numId w:val="52"/>
        </w:numPr>
        <w:spacing w:line="360" w:lineRule="auto"/>
        <w:rPr>
          <w:rFonts w:ascii="宋体" w:hAnsi="宋体" w:cs="宋体"/>
          <w:color w:val="auto"/>
          <w:highlight w:val="none"/>
        </w:rPr>
      </w:pPr>
      <w:r>
        <w:rPr>
          <w:rFonts w:hint="eastAsia" w:ascii="宋体" w:hAnsi="宋体" w:cs="宋体"/>
          <w:color w:val="auto"/>
          <w:highlight w:val="none"/>
        </w:rPr>
        <w:t>证明材料为复印件或扫描件；</w:t>
      </w:r>
    </w:p>
    <w:p>
      <w:pPr>
        <w:numPr>
          <w:ilvl w:val="0"/>
          <w:numId w:val="52"/>
        </w:numPr>
        <w:spacing w:line="360" w:lineRule="auto"/>
        <w:rPr>
          <w:rFonts w:ascii="宋体" w:hAnsi="宋体" w:cs="宋体"/>
          <w:color w:val="auto"/>
          <w:highlight w:val="none"/>
        </w:rPr>
      </w:pPr>
      <w:r>
        <w:rPr>
          <w:rFonts w:hint="eastAsia" w:ascii="宋体" w:hAnsi="宋体" w:cs="宋体"/>
          <w:color w:val="auto"/>
          <w:highlight w:val="none"/>
        </w:rPr>
        <w:t>企业信息变更证明材料扫描件（如有）</w:t>
      </w:r>
    </w:p>
    <w:p>
      <w:pPr>
        <w:spacing w:line="360" w:lineRule="auto"/>
        <w:rPr>
          <w:rFonts w:ascii="宋体" w:hAnsi="宋体" w:cs="宋体"/>
          <w:color w:val="auto"/>
          <w:highlight w:val="none"/>
        </w:rPr>
      </w:pPr>
      <w:r>
        <w:rPr>
          <w:rFonts w:hint="eastAsia" w:ascii="宋体" w:hAnsi="宋体" w:cs="宋体"/>
          <w:color w:val="auto"/>
          <w:highlight w:val="none"/>
        </w:rPr>
        <w:t>若投标人成立至今有发生名称、地址、注册资金等变更情况，并可能导致与投标文件中所提供的材料中的单位名称不一致的，必须提供加盖公章的公司变更说明材料，否则可能导致投标人的相关材料被认定无效。如无，则无需提供。</w:t>
      </w:r>
    </w:p>
    <w:p>
      <w:pPr>
        <w:pStyle w:val="5"/>
        <w:keepLines/>
        <w:adjustRightInd w:val="0"/>
        <w:snapToGrid w:val="0"/>
        <w:spacing w:beforeLines="50" w:afterLines="50" w:line="360" w:lineRule="auto"/>
        <w:rPr>
          <w:rFonts w:ascii="宋体" w:eastAsia="宋体" w:cs="宋体"/>
          <w:b w:val="0"/>
          <w:bCs w:val="0"/>
          <w:color w:val="auto"/>
          <w:sz w:val="21"/>
          <w:szCs w:val="21"/>
          <w:highlight w:val="none"/>
        </w:rPr>
      </w:pPr>
      <w:r>
        <w:rPr>
          <w:rFonts w:hint="eastAsia" w:ascii="宋体" w:eastAsia="宋体" w:cs="宋体"/>
          <w:color w:val="auto"/>
          <w:highlight w:val="none"/>
        </w:rPr>
        <w:br w:type="page"/>
      </w:r>
      <w:bookmarkStart w:id="211" w:name="_Toc21028"/>
      <w:bookmarkStart w:id="212" w:name="_Toc11416"/>
      <w:bookmarkStart w:id="213" w:name="_Toc31144"/>
      <w:r>
        <w:rPr>
          <w:rFonts w:hint="eastAsia" w:ascii="宋体" w:eastAsia="宋体" w:cs="宋体"/>
          <w:color w:val="auto"/>
          <w:sz w:val="28"/>
          <w:szCs w:val="28"/>
          <w:highlight w:val="none"/>
        </w:rPr>
        <w:t>附件2财务报告</w:t>
      </w:r>
      <w:bookmarkEnd w:id="211"/>
      <w:bookmarkEnd w:id="212"/>
      <w:bookmarkEnd w:id="213"/>
    </w:p>
    <w:p>
      <w:pPr>
        <w:spacing w:line="360" w:lineRule="auto"/>
        <w:rPr>
          <w:rFonts w:ascii="宋体" w:hAnsi="宋体" w:cs="宋体"/>
          <w:color w:val="auto"/>
          <w:highlight w:val="none"/>
        </w:rPr>
      </w:pPr>
      <w:r>
        <w:rPr>
          <w:rFonts w:hint="eastAsia" w:ascii="宋体" w:hAnsi="宋体" w:cs="宋体"/>
          <w:color w:val="auto"/>
          <w:highlight w:val="none"/>
        </w:rPr>
        <w:t>注：</w:t>
      </w:r>
    </w:p>
    <w:p>
      <w:pPr>
        <w:spacing w:line="360" w:lineRule="auto"/>
        <w:rPr>
          <w:rFonts w:ascii="宋体" w:hAnsi="宋体" w:cs="宋体"/>
          <w:b w:val="0"/>
          <w:bCs w:val="0"/>
          <w:color w:val="auto"/>
          <w:highlight w:val="none"/>
        </w:rPr>
      </w:pPr>
      <w:r>
        <w:rPr>
          <w:rFonts w:hint="eastAsia" w:ascii="宋体" w:hAnsi="宋体" w:cs="宋体"/>
          <w:b w:val="0"/>
          <w:bCs w:val="0"/>
          <w:color w:val="auto"/>
          <w:highlight w:val="none"/>
        </w:rPr>
        <w:t>1、此项附提供以下材料之一即可：</w:t>
      </w:r>
    </w:p>
    <w:p>
      <w:pPr>
        <w:spacing w:line="360" w:lineRule="auto"/>
        <w:rPr>
          <w:rFonts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rPr>
        <w:t>提供2020年度财务状况报告或</w:t>
      </w:r>
      <w:r>
        <w:rPr>
          <w:rFonts w:hint="eastAsia" w:ascii="宋体" w:hAnsi="宋体" w:cs="宋体"/>
          <w:b w:val="0"/>
          <w:bCs w:val="0"/>
          <w:color w:val="auto"/>
          <w:highlight w:val="none"/>
          <w:lang w:eastAsia="zh-CN"/>
        </w:rPr>
        <w:t>近一年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投标截止时间当月往前顺推12个月</w:t>
      </w:r>
      <w:r>
        <w:rPr>
          <w:rFonts w:hint="eastAsia" w:ascii="宋体" w:hAnsi="宋体" w:cs="宋体"/>
          <w:color w:val="auto"/>
          <w:highlight w:val="none"/>
          <w:lang w:eastAsia="zh-CN"/>
        </w:rPr>
        <w:t>）</w:t>
      </w:r>
      <w:r>
        <w:rPr>
          <w:rFonts w:hint="eastAsia" w:ascii="宋体" w:hAnsi="宋体" w:cs="宋体"/>
          <w:b w:val="0"/>
          <w:bCs w:val="0"/>
          <w:color w:val="auto"/>
          <w:highlight w:val="none"/>
          <w:lang w:eastAsia="zh-CN"/>
        </w:rPr>
        <w:t>的财务状况报告</w:t>
      </w:r>
      <w:r>
        <w:rPr>
          <w:rFonts w:hint="eastAsia" w:ascii="宋体" w:hAnsi="宋体" w:cs="宋体"/>
          <w:b w:val="0"/>
          <w:bCs w:val="0"/>
          <w:color w:val="auto"/>
          <w:highlight w:val="none"/>
        </w:rPr>
        <w:t>复印件</w:t>
      </w:r>
      <w:r>
        <w:rPr>
          <w:rFonts w:hint="eastAsia" w:ascii="宋体" w:hAnsi="宋体" w:cs="宋体"/>
          <w:b w:val="0"/>
          <w:bCs w:val="0"/>
          <w:color w:val="auto"/>
          <w:szCs w:val="21"/>
          <w:highlight w:val="none"/>
        </w:rPr>
        <w:t>；</w:t>
      </w:r>
    </w:p>
    <w:p>
      <w:pPr>
        <w:numPr>
          <w:ilvl w:val="0"/>
          <w:numId w:val="53"/>
        </w:numPr>
        <w:spacing w:line="360" w:lineRule="auto"/>
        <w:rPr>
          <w:rFonts w:ascii="宋体" w:hAnsi="宋体" w:cs="宋体"/>
          <w:b w:val="0"/>
          <w:bCs w:val="0"/>
          <w:color w:val="auto"/>
          <w:highlight w:val="none"/>
        </w:rPr>
      </w:pPr>
      <w:r>
        <w:rPr>
          <w:rFonts w:hint="eastAsia" w:ascii="宋体" w:hAnsi="宋体" w:cs="宋体"/>
          <w:b w:val="0"/>
          <w:bCs w:val="0"/>
          <w:color w:val="auto"/>
          <w:highlight w:val="none"/>
        </w:rPr>
        <w:t>银行出具的资信证明（具有法人资格的，其开具资信证明的银行应为其基本开户银行，并提供开户许可证）；</w:t>
      </w:r>
    </w:p>
    <w:p>
      <w:pPr>
        <w:spacing w:line="360" w:lineRule="auto"/>
        <w:rPr>
          <w:rFonts w:ascii="宋体" w:hAnsi="宋体" w:cs="宋体"/>
          <w:b w:val="0"/>
          <w:bCs w:val="0"/>
          <w:color w:val="auto"/>
          <w:highlight w:val="none"/>
        </w:rPr>
      </w:pPr>
      <w:r>
        <w:rPr>
          <w:rFonts w:hint="eastAsia" w:ascii="宋体" w:hAnsi="宋体" w:cs="宋体"/>
          <w:b w:val="0"/>
          <w:bCs w:val="0"/>
          <w:color w:val="auto"/>
          <w:highlight w:val="none"/>
        </w:rPr>
        <w:t>2、证明材料为复印件或扫描件。</w:t>
      </w:r>
    </w:p>
    <w:p>
      <w:pPr>
        <w:pStyle w:val="81"/>
        <w:adjustRightInd w:val="0"/>
        <w:snapToGrid w:val="0"/>
        <w:spacing w:line="360" w:lineRule="auto"/>
        <w:ind w:firstLine="0" w:firstLineChars="0"/>
        <w:rPr>
          <w:rFonts w:ascii="宋体" w:hAnsi="宋体" w:cs="宋体"/>
          <w:color w:val="auto"/>
          <w:highlight w:val="none"/>
        </w:rPr>
      </w:pPr>
      <w:r>
        <w:rPr>
          <w:rFonts w:hint="eastAsia" w:ascii="宋体" w:hAnsi="宋体" w:cs="宋体"/>
          <w:color w:val="auto"/>
          <w:highlight w:val="none"/>
        </w:rPr>
        <w:br w:type="page"/>
      </w:r>
    </w:p>
    <w:p>
      <w:pPr>
        <w:pStyle w:val="81"/>
        <w:adjustRightInd w:val="0"/>
        <w:snapToGrid w:val="0"/>
        <w:spacing w:line="360" w:lineRule="auto"/>
        <w:ind w:firstLine="0" w:firstLineChars="0"/>
        <w:outlineLvl w:val="2"/>
        <w:rPr>
          <w:rFonts w:ascii="宋体" w:hAnsi="宋体" w:cs="宋体"/>
          <w:b/>
          <w:bCs/>
          <w:color w:val="auto"/>
          <w:kern w:val="0"/>
          <w:sz w:val="28"/>
          <w:szCs w:val="28"/>
          <w:highlight w:val="none"/>
        </w:rPr>
      </w:pPr>
      <w:bookmarkStart w:id="214" w:name="_Toc25433"/>
      <w:bookmarkStart w:id="215" w:name="_Toc9724"/>
      <w:r>
        <w:rPr>
          <w:rFonts w:hint="eastAsia" w:ascii="宋体" w:hAnsi="宋体" w:cs="宋体"/>
          <w:b/>
          <w:bCs/>
          <w:color w:val="auto"/>
          <w:kern w:val="0"/>
          <w:sz w:val="28"/>
          <w:szCs w:val="28"/>
          <w:highlight w:val="none"/>
        </w:rPr>
        <w:t>附件3依法缴纳税收的证明</w:t>
      </w:r>
      <w:bookmarkEnd w:id="214"/>
      <w:bookmarkEnd w:id="215"/>
    </w:p>
    <w:p>
      <w:pPr>
        <w:spacing w:line="360" w:lineRule="auto"/>
        <w:rPr>
          <w:rFonts w:ascii="宋体" w:hAnsi="宋体" w:cs="宋体"/>
          <w:color w:val="auto"/>
          <w:highlight w:val="none"/>
        </w:rPr>
      </w:pPr>
      <w:r>
        <w:rPr>
          <w:rFonts w:hint="eastAsia" w:ascii="宋体" w:hAnsi="宋体" w:cs="宋体"/>
          <w:color w:val="auto"/>
          <w:highlight w:val="none"/>
        </w:rPr>
        <w:t>注：</w:t>
      </w:r>
    </w:p>
    <w:p>
      <w:pPr>
        <w:numPr>
          <w:ilvl w:val="0"/>
          <w:numId w:val="54"/>
        </w:numPr>
        <w:spacing w:line="360" w:lineRule="auto"/>
        <w:rPr>
          <w:rFonts w:ascii="宋体" w:hAnsi="宋体" w:cs="宋体"/>
          <w:color w:val="auto"/>
          <w:highlight w:val="none"/>
        </w:rPr>
      </w:pPr>
      <w:r>
        <w:rPr>
          <w:rFonts w:hint="eastAsia" w:ascii="宋体" w:hAnsi="宋体" w:cs="宋体"/>
          <w:color w:val="auto"/>
          <w:highlight w:val="none"/>
        </w:rPr>
        <w:t>此项附：</w:t>
      </w:r>
    </w:p>
    <w:p>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1）提供</w:t>
      </w:r>
      <w:r>
        <w:rPr>
          <w:rFonts w:hint="eastAsia" w:ascii="宋体" w:hAnsi="宋体" w:cs="宋体"/>
          <w:color w:val="auto"/>
          <w:highlight w:val="none"/>
          <w:lang w:val="en-US" w:eastAsia="zh-CN"/>
        </w:rPr>
        <w:t>近一年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投标截止时间当月往前顺推12个月</w:t>
      </w:r>
      <w:r>
        <w:rPr>
          <w:rFonts w:hint="eastAsia" w:ascii="宋体" w:hAnsi="宋体" w:cs="宋体"/>
          <w:color w:val="auto"/>
          <w:highlight w:val="none"/>
          <w:lang w:eastAsia="zh-CN"/>
        </w:rPr>
        <w:t>）</w:t>
      </w:r>
      <w:r>
        <w:rPr>
          <w:rFonts w:hint="eastAsia" w:ascii="宋体" w:hAnsi="宋体" w:cs="宋体"/>
          <w:color w:val="auto"/>
          <w:highlight w:val="none"/>
        </w:rPr>
        <w:t>缴纳税收的证明（缴税凭证）复印件</w:t>
      </w:r>
      <w:r>
        <w:rPr>
          <w:rFonts w:hint="eastAsia" w:ascii="宋体" w:hAnsi="宋体" w:cs="宋体"/>
          <w:color w:val="auto"/>
          <w:highlight w:val="none"/>
          <w:lang w:val="en-US" w:eastAsia="zh-CN"/>
        </w:rPr>
        <w:t>；</w:t>
      </w:r>
    </w:p>
    <w:p>
      <w:pPr>
        <w:numPr>
          <w:ilvl w:val="0"/>
          <w:numId w:val="55"/>
        </w:numPr>
        <w:spacing w:line="360" w:lineRule="auto"/>
        <w:rPr>
          <w:rFonts w:ascii="宋体" w:hAnsi="宋体" w:cs="宋体"/>
          <w:color w:val="auto"/>
          <w:highlight w:val="none"/>
        </w:rPr>
      </w:pPr>
      <w:r>
        <w:rPr>
          <w:rFonts w:hint="eastAsia" w:ascii="宋体" w:hAnsi="宋体" w:cs="宋体"/>
          <w:color w:val="auto"/>
          <w:highlight w:val="none"/>
        </w:rPr>
        <w:t>如依法免税的，应提供相应文件证明其依法免税。</w:t>
      </w:r>
    </w:p>
    <w:p>
      <w:pPr>
        <w:spacing w:line="360" w:lineRule="auto"/>
        <w:rPr>
          <w:rFonts w:ascii="宋体" w:hAnsi="宋体" w:cs="宋体"/>
          <w:color w:val="auto"/>
          <w:highlight w:val="none"/>
        </w:rPr>
      </w:pPr>
      <w:r>
        <w:rPr>
          <w:rFonts w:hint="eastAsia" w:ascii="宋体" w:hAnsi="宋体" w:cs="宋体"/>
          <w:color w:val="auto"/>
          <w:highlight w:val="none"/>
        </w:rPr>
        <w:t>2、证明材料为复印件或扫描件或网络打印件。</w:t>
      </w:r>
    </w:p>
    <w:p>
      <w:pPr>
        <w:spacing w:line="360" w:lineRule="auto"/>
        <w:rPr>
          <w:rFonts w:ascii="宋体" w:hAnsi="宋体" w:cs="宋体"/>
          <w:color w:val="auto"/>
          <w:highlight w:val="none"/>
        </w:rPr>
      </w:pPr>
      <w:r>
        <w:rPr>
          <w:rFonts w:hint="eastAsia" w:ascii="宋体" w:hAnsi="宋体" w:cs="宋体"/>
          <w:color w:val="auto"/>
          <w:highlight w:val="none"/>
        </w:rPr>
        <w:br w:type="page"/>
      </w:r>
    </w:p>
    <w:p>
      <w:pPr>
        <w:pStyle w:val="81"/>
        <w:adjustRightInd w:val="0"/>
        <w:snapToGrid w:val="0"/>
        <w:spacing w:line="360" w:lineRule="auto"/>
        <w:ind w:firstLine="0" w:firstLineChars="0"/>
        <w:outlineLvl w:val="2"/>
        <w:rPr>
          <w:rFonts w:ascii="宋体" w:hAnsi="宋体" w:cs="宋体"/>
          <w:b/>
          <w:bCs/>
          <w:color w:val="auto"/>
          <w:kern w:val="0"/>
          <w:sz w:val="28"/>
          <w:szCs w:val="28"/>
          <w:highlight w:val="none"/>
        </w:rPr>
      </w:pPr>
      <w:bookmarkStart w:id="216" w:name="_Toc25400"/>
      <w:bookmarkStart w:id="217" w:name="_Toc26013"/>
      <w:bookmarkStart w:id="218" w:name="_Toc15854"/>
      <w:r>
        <w:rPr>
          <w:rFonts w:hint="eastAsia" w:ascii="宋体" w:hAnsi="宋体" w:cs="宋体"/>
          <w:b/>
          <w:bCs/>
          <w:color w:val="auto"/>
          <w:kern w:val="0"/>
          <w:sz w:val="28"/>
          <w:szCs w:val="28"/>
          <w:highlight w:val="none"/>
        </w:rPr>
        <w:t>附件4依法缴纳社会保险的证明（缴费凭证）</w:t>
      </w:r>
      <w:bookmarkEnd w:id="216"/>
      <w:bookmarkEnd w:id="217"/>
      <w:bookmarkEnd w:id="218"/>
    </w:p>
    <w:p>
      <w:pPr>
        <w:spacing w:line="360" w:lineRule="auto"/>
        <w:rPr>
          <w:rFonts w:ascii="宋体" w:hAnsi="宋体" w:cs="宋体"/>
          <w:color w:val="auto"/>
          <w:highlight w:val="none"/>
        </w:rPr>
      </w:pPr>
      <w:r>
        <w:rPr>
          <w:rFonts w:hint="eastAsia" w:ascii="宋体" w:hAnsi="宋体" w:cs="宋体"/>
          <w:color w:val="auto"/>
          <w:highlight w:val="none"/>
        </w:rPr>
        <w:t>注：</w:t>
      </w:r>
    </w:p>
    <w:p>
      <w:pPr>
        <w:numPr>
          <w:ilvl w:val="0"/>
          <w:numId w:val="56"/>
        </w:numPr>
        <w:spacing w:line="360" w:lineRule="auto"/>
        <w:rPr>
          <w:rFonts w:ascii="宋体" w:hAnsi="宋体" w:cs="宋体"/>
          <w:color w:val="auto"/>
          <w:highlight w:val="none"/>
        </w:rPr>
      </w:pPr>
      <w:r>
        <w:rPr>
          <w:rFonts w:hint="eastAsia" w:ascii="宋体" w:hAnsi="宋体" w:cs="宋体"/>
          <w:color w:val="auto"/>
          <w:highlight w:val="none"/>
        </w:rPr>
        <w:t>此项附：</w:t>
      </w:r>
    </w:p>
    <w:p>
      <w:pPr>
        <w:numPr>
          <w:ilvl w:val="0"/>
          <w:numId w:val="57"/>
        </w:numPr>
        <w:spacing w:line="360" w:lineRule="auto"/>
        <w:rPr>
          <w:rFonts w:hint="eastAsia" w:ascii="宋体" w:hAnsi="宋体" w:cs="宋体"/>
          <w:color w:val="auto"/>
          <w:highlight w:val="none"/>
          <w:lang w:val="en-US" w:eastAsia="zh-CN"/>
        </w:rPr>
      </w:pPr>
      <w:r>
        <w:rPr>
          <w:rFonts w:hint="eastAsia" w:ascii="宋体" w:hAnsi="宋体" w:cs="宋体"/>
          <w:bCs/>
          <w:color w:val="auto"/>
          <w:szCs w:val="21"/>
          <w:highlight w:val="none"/>
        </w:rPr>
        <w:t>提供</w:t>
      </w:r>
      <w:r>
        <w:rPr>
          <w:rFonts w:hint="eastAsia" w:ascii="宋体" w:hAnsi="宋体" w:cs="宋体"/>
          <w:color w:val="auto"/>
          <w:highlight w:val="none"/>
          <w:lang w:val="en-US" w:eastAsia="zh-CN"/>
        </w:rPr>
        <w:t>近一年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投标截止时间当月往前顺推12个月</w:t>
      </w:r>
      <w:r>
        <w:rPr>
          <w:rFonts w:hint="eastAsia" w:ascii="宋体" w:hAnsi="宋体" w:cs="宋体"/>
          <w:color w:val="auto"/>
          <w:highlight w:val="none"/>
          <w:lang w:eastAsia="zh-CN"/>
        </w:rPr>
        <w:t>）</w:t>
      </w:r>
      <w:r>
        <w:rPr>
          <w:rFonts w:hint="eastAsia" w:ascii="宋体" w:hAnsi="宋体" w:cs="宋体"/>
          <w:bCs/>
          <w:color w:val="auto"/>
          <w:szCs w:val="21"/>
          <w:highlight w:val="none"/>
        </w:rPr>
        <w:t>缴纳社会保险的证明（缴费凭证）复印件</w:t>
      </w:r>
      <w:r>
        <w:rPr>
          <w:rFonts w:hint="eastAsia" w:ascii="宋体" w:hAnsi="宋体" w:cs="宋体"/>
          <w:color w:val="auto"/>
          <w:highlight w:val="none"/>
          <w:lang w:val="en-US" w:eastAsia="zh-CN"/>
        </w:rPr>
        <w:t>；</w:t>
      </w:r>
    </w:p>
    <w:p>
      <w:pPr>
        <w:pStyle w:val="2"/>
        <w:numPr>
          <w:ilvl w:val="0"/>
          <w:numId w:val="0"/>
        </w:numPr>
        <w:rPr>
          <w:rFonts w:hint="eastAsia"/>
          <w:lang w:val="en-US" w:eastAsia="zh-CN"/>
        </w:rPr>
      </w:pPr>
      <w:r>
        <w:rPr>
          <w:rFonts w:hint="eastAsia"/>
          <w:lang w:val="en-US" w:eastAsia="zh-CN"/>
        </w:rPr>
        <w:t>注：投标人的社保证明因所在地区社保查询的不同规定，如只能查询至查询日的上上月，不能提供规定社保区间的社保证明的，投标人如在投标文件中提供了投标人注册所在地（或分支机构注册所在地）政府部门的社保管理相应文件复印件或打印件，其所提供的社保可以按当地的文件要求相应顺推。</w:t>
      </w:r>
    </w:p>
    <w:p>
      <w:pPr>
        <w:pStyle w:val="2"/>
        <w:numPr>
          <w:ilvl w:val="0"/>
          <w:numId w:val="0"/>
        </w:numPr>
        <w:rPr>
          <w:rFonts w:hint="default"/>
          <w:lang w:val="en-US" w:eastAsia="zh-CN"/>
        </w:rPr>
      </w:pPr>
    </w:p>
    <w:p>
      <w:pPr>
        <w:spacing w:line="360" w:lineRule="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Cs/>
          <w:color w:val="auto"/>
          <w:szCs w:val="21"/>
          <w:highlight w:val="none"/>
        </w:rPr>
        <w:t>如依法不需要缴纳社会保障资金的，应提供相应文件证明其依法不需要缴纳社会保障资金</w:t>
      </w:r>
      <w:r>
        <w:rPr>
          <w:rFonts w:hint="eastAsia" w:ascii="宋体" w:hAnsi="宋体" w:cs="宋体"/>
          <w:color w:val="auto"/>
          <w:highlight w:val="none"/>
        </w:rPr>
        <w:t>。</w:t>
      </w:r>
    </w:p>
    <w:p>
      <w:pPr>
        <w:spacing w:line="360" w:lineRule="auto"/>
        <w:rPr>
          <w:rFonts w:ascii="宋体" w:hAnsi="宋体" w:cs="宋体"/>
          <w:color w:val="auto"/>
          <w:highlight w:val="none"/>
        </w:rPr>
      </w:pPr>
      <w:r>
        <w:rPr>
          <w:rFonts w:hint="eastAsia" w:ascii="宋体" w:hAnsi="宋体" w:cs="宋体"/>
          <w:color w:val="auto"/>
          <w:highlight w:val="none"/>
        </w:rPr>
        <w:t>2、证明材料为复印件或扫描件或网络打印件。</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left="420"/>
        <w:rPr>
          <w:rFonts w:ascii="宋体" w:hAnsi="宋体" w:cs="宋体"/>
          <w:color w:val="auto"/>
          <w:highlight w:val="none"/>
        </w:rPr>
      </w:pPr>
    </w:p>
    <w:p>
      <w:pPr>
        <w:spacing w:line="360" w:lineRule="auto"/>
        <w:ind w:left="420"/>
        <w:rPr>
          <w:rFonts w:ascii="宋体" w:hAnsi="宋体" w:cs="宋体"/>
          <w:color w:val="auto"/>
          <w:highlight w:val="none"/>
        </w:rPr>
      </w:pPr>
    </w:p>
    <w:p>
      <w:pP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rPr>
          <w:rFonts w:ascii="宋体" w:hAnsi="宋体" w:cs="宋体"/>
          <w:color w:val="auto"/>
          <w:spacing w:val="4"/>
          <w:highlight w:val="none"/>
        </w:rPr>
      </w:pPr>
    </w:p>
    <w:p>
      <w:pPr>
        <w:pStyle w:val="4"/>
        <w:adjustRightInd w:val="0"/>
        <w:snapToGrid w:val="0"/>
        <w:spacing w:beforeLines="50" w:afterLines="50" w:line="360" w:lineRule="auto"/>
        <w:jc w:val="center"/>
        <w:rPr>
          <w:rFonts w:ascii="宋体" w:hAnsi="宋体" w:eastAsia="宋体" w:cs="宋体"/>
          <w:b w:val="0"/>
          <w:color w:val="auto"/>
          <w:highlight w:val="none"/>
        </w:rPr>
      </w:pPr>
      <w:bookmarkStart w:id="219" w:name="_Toc2828"/>
      <w:bookmarkStart w:id="220" w:name="_Toc9575"/>
      <w:bookmarkStart w:id="221" w:name="_Toc19863"/>
      <w:r>
        <w:rPr>
          <w:rFonts w:hint="eastAsia" w:ascii="宋体" w:hAnsi="宋体" w:eastAsia="宋体" w:cs="宋体"/>
          <w:bCs w:val="0"/>
          <w:color w:val="auto"/>
          <w:highlight w:val="none"/>
        </w:rPr>
        <w:t>法定代表人/负责人授权委托书</w:t>
      </w:r>
      <w:bookmarkEnd w:id="198"/>
      <w:bookmarkEnd w:id="199"/>
      <w:bookmarkEnd w:id="200"/>
      <w:bookmarkEnd w:id="201"/>
      <w:bookmarkEnd w:id="202"/>
      <w:bookmarkEnd w:id="203"/>
      <w:bookmarkEnd w:id="204"/>
      <w:bookmarkEnd w:id="205"/>
      <w:bookmarkEnd w:id="219"/>
      <w:bookmarkEnd w:id="220"/>
      <w:bookmarkEnd w:id="221"/>
    </w:p>
    <w:p>
      <w:pPr>
        <w:pStyle w:val="21"/>
        <w:spacing w:line="360" w:lineRule="auto"/>
        <w:ind w:firstLine="420" w:firstLineChars="200"/>
        <w:rPr>
          <w:rFonts w:hAnsi="宋体" w:cs="宋体"/>
          <w:color w:val="auto"/>
          <w:sz w:val="21"/>
          <w:highlight w:val="none"/>
        </w:rPr>
      </w:pPr>
      <w:r>
        <w:rPr>
          <w:rFonts w:hint="eastAsia" w:hAnsi="宋体" w:cs="宋体"/>
          <w:color w:val="auto"/>
          <w:sz w:val="21"/>
          <w:highlight w:val="none"/>
        </w:rPr>
        <w:t>本授权委托书声明：注册于</w:t>
      </w:r>
      <w:r>
        <w:rPr>
          <w:rFonts w:hint="eastAsia" w:hAnsi="宋体" w:cs="宋体"/>
          <w:color w:val="auto"/>
          <w:sz w:val="21"/>
          <w:highlight w:val="none"/>
          <w:u w:val="single"/>
        </w:rPr>
        <w:t xml:space="preserve"> （投标人地址）  </w:t>
      </w:r>
      <w:r>
        <w:rPr>
          <w:rFonts w:hint="eastAsia" w:hAnsi="宋体" w:cs="宋体"/>
          <w:color w:val="auto"/>
          <w:sz w:val="21"/>
          <w:highlight w:val="none"/>
        </w:rPr>
        <w:t>的</w:t>
      </w:r>
      <w:r>
        <w:rPr>
          <w:rFonts w:hint="eastAsia" w:hAnsi="宋体" w:cs="宋体"/>
          <w:color w:val="auto"/>
          <w:sz w:val="21"/>
          <w:highlight w:val="none"/>
          <w:u w:val="single"/>
        </w:rPr>
        <w:t xml:space="preserve">  （投标人名称）    </w:t>
      </w:r>
      <w:r>
        <w:rPr>
          <w:rFonts w:hint="eastAsia" w:hAnsi="宋体" w:cs="宋体"/>
          <w:color w:val="auto"/>
          <w:sz w:val="21"/>
          <w:highlight w:val="none"/>
        </w:rPr>
        <w:t>在下面签名的</w:t>
      </w:r>
      <w:r>
        <w:rPr>
          <w:rFonts w:hint="eastAsia" w:hAnsi="宋体" w:cs="宋体"/>
          <w:color w:val="auto"/>
          <w:sz w:val="21"/>
          <w:highlight w:val="none"/>
          <w:u w:val="single"/>
        </w:rPr>
        <w:t>（法定代表人/负责人姓名、职务）</w:t>
      </w:r>
      <w:r>
        <w:rPr>
          <w:rFonts w:hint="eastAsia" w:hAnsi="宋体" w:cs="宋体"/>
          <w:color w:val="auto"/>
          <w:sz w:val="21"/>
          <w:highlight w:val="none"/>
        </w:rPr>
        <w:t>在此授权</w:t>
      </w:r>
      <w:r>
        <w:rPr>
          <w:rFonts w:hint="eastAsia" w:hAnsi="宋体" w:cs="宋体"/>
          <w:color w:val="auto"/>
          <w:sz w:val="21"/>
          <w:highlight w:val="none"/>
          <w:u w:val="single"/>
        </w:rPr>
        <w:t>（被授权人姓名、职务）</w:t>
      </w:r>
      <w:r>
        <w:rPr>
          <w:rFonts w:hint="eastAsia" w:hAnsi="宋体" w:cs="宋体"/>
          <w:color w:val="auto"/>
          <w:sz w:val="21"/>
          <w:highlight w:val="none"/>
        </w:rPr>
        <w:t>作为我公司的合法代理人，就</w:t>
      </w:r>
      <w:r>
        <w:rPr>
          <w:rFonts w:hint="eastAsia" w:hAnsi="宋体" w:cs="宋体"/>
          <w:color w:val="auto"/>
          <w:sz w:val="21"/>
          <w:highlight w:val="none"/>
          <w:u w:val="single"/>
        </w:rPr>
        <w:t>（项目名称、项目编号</w:t>
      </w:r>
      <w:r>
        <w:rPr>
          <w:rFonts w:hint="eastAsia" w:hAnsi="宋体" w:cs="宋体"/>
          <w:color w:val="auto"/>
          <w:sz w:val="21"/>
          <w:highlight w:val="none"/>
        </w:rPr>
        <w:t>）的招投标活动，采购合同的签订、执行和完成，作为投标人代表以我方的名义处理一切与之有关的事务。</w:t>
      </w:r>
    </w:p>
    <w:p>
      <w:pPr>
        <w:pStyle w:val="21"/>
        <w:spacing w:line="360" w:lineRule="auto"/>
        <w:ind w:firstLine="420" w:firstLineChars="200"/>
        <w:rPr>
          <w:rFonts w:hAnsi="宋体" w:cs="宋体"/>
          <w:color w:val="auto"/>
          <w:sz w:val="21"/>
          <w:highlight w:val="none"/>
        </w:rPr>
      </w:pPr>
      <w:r>
        <w:rPr>
          <w:rFonts w:hint="eastAsia" w:hAnsi="宋体" w:cs="宋体"/>
          <w:color w:val="auto"/>
          <w:sz w:val="21"/>
          <w:highlight w:val="none"/>
        </w:rPr>
        <w:t>被授权人（投标人授权代表）无转委托权限。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本授权书自法定代表人签字之日起生效，特此声明。</w:t>
      </w:r>
    </w:p>
    <w:p>
      <w:pPr>
        <w:spacing w:line="360" w:lineRule="auto"/>
        <w:rPr>
          <w:rFonts w:ascii="宋体" w:hAnsi="宋体" w:cs="宋体"/>
          <w:b/>
          <w:color w:val="auto"/>
          <w:highlight w:val="none"/>
        </w:rPr>
      </w:pPr>
      <w:r>
        <w:rPr>
          <w:rFonts w:hint="eastAsia" w:ascii="宋体" w:hAnsi="宋体" w:cs="宋体"/>
          <w:b/>
          <w:color w:val="auto"/>
          <w:highlight w:val="none"/>
        </w:rPr>
        <w:t>随附《法定代表人/负责人证明书》</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投标人名称（单位盖</w:t>
      </w:r>
      <w:r>
        <w:rPr>
          <w:rFonts w:hint="eastAsia" w:ascii="宋体" w:hAnsi="宋体" w:cs="宋体"/>
          <w:color w:val="auto"/>
          <w:spacing w:val="4"/>
          <w:highlight w:val="none"/>
        </w:rPr>
        <w:t>公章</w:t>
      </w:r>
      <w:r>
        <w:rPr>
          <w:rFonts w:hint="eastAsia" w:ascii="宋体" w:hAnsi="宋体" w:cs="宋体"/>
          <w:color w:val="auto"/>
          <w:highlight w:val="none"/>
        </w:rPr>
        <w:t>）：</w:t>
      </w:r>
    </w:p>
    <w:p>
      <w:pPr>
        <w:spacing w:line="360" w:lineRule="auto"/>
        <w:rPr>
          <w:rFonts w:ascii="宋体" w:hAnsi="宋体" w:cs="宋体"/>
          <w:color w:val="auto"/>
          <w:highlight w:val="none"/>
        </w:rPr>
      </w:pPr>
      <w:r>
        <w:rPr>
          <w:rFonts w:hint="eastAsia" w:ascii="宋体" w:hAnsi="宋体" w:cs="宋体"/>
          <w:color w:val="auto"/>
          <w:highlight w:val="none"/>
        </w:rPr>
        <w:t>地      址：</w:t>
      </w:r>
    </w:p>
    <w:p>
      <w:pPr>
        <w:tabs>
          <w:tab w:val="left" w:pos="3780"/>
        </w:tabs>
        <w:spacing w:line="360" w:lineRule="auto"/>
        <w:rPr>
          <w:rFonts w:ascii="宋体" w:hAnsi="宋体" w:cs="宋体"/>
          <w:color w:val="auto"/>
          <w:highlight w:val="none"/>
        </w:rPr>
      </w:pPr>
      <w:r>
        <w:rPr>
          <w:rFonts w:hint="eastAsia" w:ascii="宋体" w:hAnsi="宋体" w:eastAsia="宋体" w:cs="宋体"/>
          <w:bCs w:val="0"/>
          <w:color w:val="auto"/>
          <w:highlight w:val="none"/>
        </w:rPr>
        <w:t>法定代表人/负责人</w:t>
      </w:r>
      <w:r>
        <w:rPr>
          <w:rFonts w:hint="eastAsia" w:ascii="宋体" w:hAnsi="宋体" w:cs="宋体"/>
          <w:color w:val="auto"/>
          <w:highlight w:val="none"/>
        </w:rPr>
        <w:t>（签字或盖章）：                         签字日期：  年  月  日</w:t>
      </w:r>
    </w:p>
    <w:p>
      <w:pPr>
        <w:spacing w:line="360" w:lineRule="auto"/>
        <w:ind w:left="1159" w:leftChars="552" w:firstLine="2261"/>
        <w:rPr>
          <w:rFonts w:ascii="宋体" w:hAnsi="宋体" w:cs="宋体"/>
          <w:color w:val="auto"/>
          <w:highlight w:val="none"/>
        </w:rPr>
      </w:pPr>
    </w:p>
    <w:p>
      <w:pPr>
        <w:spacing w:line="440" w:lineRule="exact"/>
        <w:rPr>
          <w:rFonts w:ascii="宋体" w:hAnsi="宋体" w:cs="宋体"/>
          <w:color w:val="auto"/>
          <w:highlight w:val="none"/>
        </w:rPr>
      </w:pPr>
      <w:bookmarkStart w:id="222" w:name="_Toc226217114"/>
    </w:p>
    <w:p>
      <w:pPr>
        <w:spacing w:line="360" w:lineRule="auto"/>
        <w:rPr>
          <w:rFonts w:ascii="宋体" w:hAnsi="宋体" w:cs="宋体"/>
          <w:b/>
          <w:color w:val="auto"/>
          <w:highlight w:val="none"/>
        </w:rPr>
      </w:pPr>
      <w:r>
        <w:rPr>
          <w:rFonts w:hint="eastAsia" w:ascii="宋体" w:hAnsi="宋体" w:cs="宋体"/>
          <w:b/>
          <w:color w:val="auto"/>
          <w:highlight w:val="none"/>
        </w:rPr>
        <w:t>附被授权人身份证复印件</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5000" w:type="pct"/>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身份证复印件或扫描件（正反面）</w:t>
            </w:r>
          </w:p>
        </w:tc>
      </w:tr>
    </w:tbl>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440" w:lineRule="exact"/>
        <w:rPr>
          <w:rFonts w:ascii="宋体" w:hAnsi="宋体" w:cs="宋体"/>
          <w:color w:val="auto"/>
          <w:sz w:val="24"/>
          <w:highlight w:val="none"/>
        </w:rPr>
        <w:sectPr>
          <w:pgSz w:w="11906" w:h="16838"/>
          <w:pgMar w:top="1440" w:right="1440" w:bottom="1440" w:left="1440" w:header="851" w:footer="992" w:gutter="0"/>
          <w:pgNumType w:fmt="decimal"/>
          <w:cols w:space="720" w:num="1"/>
          <w:docGrid w:type="lines" w:linePitch="312" w:charSpace="0"/>
        </w:sectPr>
      </w:pPr>
    </w:p>
    <w:bookmarkEnd w:id="222"/>
    <w:p>
      <w:pPr>
        <w:pStyle w:val="4"/>
        <w:adjustRightInd w:val="0"/>
        <w:snapToGrid w:val="0"/>
        <w:spacing w:beforeLines="50" w:afterLines="50" w:line="360" w:lineRule="auto"/>
        <w:jc w:val="center"/>
        <w:rPr>
          <w:rFonts w:ascii="宋体" w:hAnsi="宋体" w:eastAsia="宋体" w:cs="宋体"/>
          <w:color w:val="auto"/>
          <w:highlight w:val="none"/>
        </w:rPr>
      </w:pPr>
      <w:bookmarkStart w:id="223" w:name="_Toc9145"/>
      <w:bookmarkStart w:id="224" w:name="_Toc520812010"/>
      <w:bookmarkStart w:id="225" w:name="_Toc8789"/>
      <w:bookmarkStart w:id="226" w:name="_Toc435515300"/>
      <w:bookmarkStart w:id="227" w:name="_Toc14135"/>
      <w:bookmarkStart w:id="228" w:name="_Toc275865608"/>
      <w:bookmarkStart w:id="229" w:name="_Toc435514860"/>
      <w:r>
        <w:rPr>
          <w:rFonts w:hint="eastAsia" w:ascii="宋体" w:hAnsi="宋体" w:eastAsia="宋体" w:cs="宋体"/>
          <w:color w:val="auto"/>
          <w:highlight w:val="none"/>
        </w:rPr>
        <w:t>法定代表人/负责人证明书</w:t>
      </w:r>
      <w:bookmarkEnd w:id="206"/>
      <w:bookmarkEnd w:id="207"/>
      <w:bookmarkEnd w:id="208"/>
      <w:bookmarkEnd w:id="209"/>
      <w:bookmarkEnd w:id="210"/>
      <w:bookmarkEnd w:id="223"/>
      <w:bookmarkEnd w:id="224"/>
      <w:bookmarkEnd w:id="225"/>
      <w:bookmarkEnd w:id="226"/>
      <w:bookmarkEnd w:id="227"/>
      <w:bookmarkEnd w:id="228"/>
      <w:bookmarkEnd w:id="229"/>
    </w:p>
    <w:p>
      <w:pPr>
        <w:tabs>
          <w:tab w:val="left" w:pos="900"/>
        </w:tabs>
        <w:spacing w:line="480" w:lineRule="auto"/>
        <w:ind w:firstLine="945" w:firstLineChars="450"/>
        <w:rPr>
          <w:rFonts w:ascii="宋体" w:hAnsi="宋体" w:cs="宋体"/>
          <w:color w:val="auto"/>
          <w:highlight w:val="none"/>
        </w:rPr>
      </w:pPr>
      <w:r>
        <w:rPr>
          <w:rFonts w:hint="eastAsia" w:ascii="宋体" w:hAnsi="宋体" w:cs="宋体"/>
          <w:color w:val="auto"/>
          <w:highlight w:val="none"/>
        </w:rPr>
        <w:t>______________同志，现任我单位职务，为法定代表人/负责人，特此证明。</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本证明书自签发之日起生效，有效期与本公司投标文件中标注的投标有效期相同。</w:t>
      </w:r>
    </w:p>
    <w:p>
      <w:pPr>
        <w:spacing w:line="480" w:lineRule="auto"/>
        <w:ind w:firstLine="420" w:firstLineChars="200"/>
        <w:rPr>
          <w:rFonts w:ascii="宋体" w:hAnsi="宋体" w:cs="宋体"/>
          <w:color w:val="auto"/>
          <w:highlight w:val="none"/>
        </w:rPr>
      </w:pPr>
      <w:r>
        <w:rPr>
          <w:rFonts w:hint="eastAsia" w:ascii="宋体" w:hAnsi="宋体" w:cs="宋体"/>
          <w:color w:val="auto"/>
          <w:highlight w:val="none"/>
        </w:rPr>
        <w:t>附：</w:t>
      </w:r>
    </w:p>
    <w:p>
      <w:pPr>
        <w:spacing w:line="480" w:lineRule="auto"/>
        <w:ind w:firstLine="840" w:firstLineChars="400"/>
        <w:rPr>
          <w:rFonts w:ascii="宋体" w:hAnsi="宋体" w:cs="宋体"/>
          <w:color w:val="auto"/>
          <w:highlight w:val="none"/>
        </w:rPr>
      </w:pPr>
      <w:r>
        <w:rPr>
          <w:rFonts w:hint="eastAsia" w:ascii="宋体" w:hAnsi="宋体" w:cs="宋体"/>
          <w:color w:val="auto"/>
          <w:highlight w:val="none"/>
        </w:rPr>
        <w:t xml:space="preserve">营业执照号码：                       </w:t>
      </w:r>
    </w:p>
    <w:p>
      <w:pPr>
        <w:spacing w:line="480" w:lineRule="auto"/>
        <w:ind w:firstLine="840" w:firstLineChars="400"/>
        <w:rPr>
          <w:rFonts w:ascii="宋体" w:hAnsi="宋体" w:cs="宋体"/>
          <w:color w:val="auto"/>
          <w:highlight w:val="none"/>
        </w:rPr>
      </w:pPr>
      <w:r>
        <w:rPr>
          <w:rFonts w:hint="eastAsia" w:ascii="宋体" w:hAnsi="宋体" w:cs="宋体"/>
          <w:color w:val="auto"/>
          <w:highlight w:val="none"/>
        </w:rPr>
        <w:t>经济性质：</w:t>
      </w:r>
    </w:p>
    <w:p>
      <w:pPr>
        <w:spacing w:line="480" w:lineRule="auto"/>
        <w:ind w:firstLine="840" w:firstLineChars="400"/>
        <w:rPr>
          <w:rFonts w:ascii="宋体" w:hAnsi="宋体" w:cs="宋体"/>
          <w:color w:val="auto"/>
          <w:highlight w:val="none"/>
        </w:rPr>
      </w:pPr>
      <w:r>
        <w:rPr>
          <w:rFonts w:hint="eastAsia" w:ascii="宋体" w:hAnsi="宋体" w:cs="宋体"/>
          <w:color w:val="auto"/>
          <w:highlight w:val="none"/>
        </w:rPr>
        <w:t>主营（产）：</w:t>
      </w:r>
    </w:p>
    <w:p>
      <w:pPr>
        <w:spacing w:line="480" w:lineRule="auto"/>
        <w:ind w:firstLine="840" w:firstLineChars="400"/>
        <w:rPr>
          <w:rFonts w:ascii="宋体" w:hAnsi="宋体" w:cs="宋体"/>
          <w:color w:val="auto"/>
          <w:highlight w:val="none"/>
        </w:rPr>
      </w:pPr>
      <w:r>
        <w:rPr>
          <w:rFonts w:hint="eastAsia" w:ascii="宋体" w:hAnsi="宋体" w:cs="宋体"/>
          <w:color w:val="auto"/>
          <w:highlight w:val="none"/>
        </w:rPr>
        <w:t>兼营（产）：</w:t>
      </w:r>
    </w:p>
    <w:p>
      <w:pPr>
        <w:spacing w:line="480" w:lineRule="auto"/>
        <w:ind w:firstLine="843" w:firstLineChars="400"/>
        <w:rPr>
          <w:rFonts w:ascii="宋体" w:hAnsi="宋体" w:cs="宋体"/>
          <w:b/>
          <w:color w:val="auto"/>
          <w:highlight w:val="none"/>
        </w:rPr>
      </w:pPr>
      <w:r>
        <w:rPr>
          <w:rFonts w:hint="eastAsia" w:ascii="宋体" w:hAnsi="宋体" w:cs="宋体"/>
          <w:b/>
          <w:color w:val="auto"/>
          <w:highlight w:val="none"/>
        </w:rPr>
        <w:t>附法人身份证复印件：</w:t>
      </w:r>
    </w:p>
    <w:tbl>
      <w:tblPr>
        <w:tblStyle w:val="40"/>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8810" w:type="dxa"/>
            <w:vAlign w:val="center"/>
          </w:tcPr>
          <w:p>
            <w:pPr>
              <w:spacing w:line="500" w:lineRule="exact"/>
              <w:jc w:val="center"/>
              <w:rPr>
                <w:rFonts w:ascii="宋体" w:hAnsi="宋体" w:cs="宋体"/>
                <w:b/>
                <w:bCs/>
                <w:color w:val="auto"/>
                <w:highlight w:val="none"/>
              </w:rPr>
            </w:pPr>
            <w:r>
              <w:rPr>
                <w:rFonts w:hint="eastAsia" w:ascii="宋体" w:hAnsi="宋体" w:cs="宋体"/>
                <w:b/>
                <w:color w:val="auto"/>
                <w:highlight w:val="none"/>
              </w:rPr>
              <w:t>身份证复印件或扫描件（正反面）</w:t>
            </w:r>
          </w:p>
        </w:tc>
      </w:tr>
    </w:tbl>
    <w:p>
      <w:pPr>
        <w:spacing w:line="500" w:lineRule="exact"/>
        <w:rPr>
          <w:rFonts w:ascii="宋体" w:hAnsi="宋体" w:cs="宋体"/>
          <w:b/>
          <w:bCs/>
          <w:color w:val="auto"/>
          <w:highlight w:val="none"/>
        </w:rPr>
      </w:pPr>
    </w:p>
    <w:p>
      <w:pPr>
        <w:spacing w:line="500" w:lineRule="exact"/>
        <w:ind w:right="420"/>
        <w:jc w:val="center"/>
        <w:rPr>
          <w:rFonts w:ascii="宋体" w:hAnsi="宋体" w:cs="宋体"/>
          <w:color w:val="auto"/>
          <w:highlight w:val="none"/>
        </w:rPr>
      </w:pPr>
      <w:r>
        <w:rPr>
          <w:rFonts w:hint="eastAsia" w:ascii="宋体" w:hAnsi="宋体" w:cs="宋体"/>
          <w:color w:val="auto"/>
          <w:highlight w:val="none"/>
        </w:rPr>
        <w:t xml:space="preserve">                            投标人名称：（单位盖</w:t>
      </w:r>
      <w:r>
        <w:rPr>
          <w:rFonts w:hint="eastAsia" w:ascii="宋体" w:hAnsi="宋体" w:cs="宋体"/>
          <w:color w:val="auto"/>
          <w:spacing w:val="4"/>
          <w:highlight w:val="none"/>
        </w:rPr>
        <w:t>公章</w:t>
      </w:r>
      <w:r>
        <w:rPr>
          <w:rFonts w:hint="eastAsia" w:ascii="宋体" w:hAnsi="宋体" w:cs="宋体"/>
          <w:color w:val="auto"/>
          <w:highlight w:val="none"/>
        </w:rPr>
        <w:t>）：</w:t>
      </w:r>
    </w:p>
    <w:p>
      <w:pPr>
        <w:spacing w:line="500" w:lineRule="exact"/>
        <w:rPr>
          <w:rFonts w:ascii="宋体" w:hAnsi="宋体" w:cs="宋体"/>
          <w:color w:val="auto"/>
          <w:highlight w:val="none"/>
        </w:rPr>
      </w:pPr>
      <w:r>
        <w:rPr>
          <w:rFonts w:hint="eastAsia" w:ascii="宋体" w:hAnsi="宋体" w:cs="宋体"/>
          <w:color w:val="auto"/>
          <w:highlight w:val="none"/>
        </w:rPr>
        <w:t xml:space="preserve">                                         地址：</w:t>
      </w:r>
    </w:p>
    <w:p>
      <w:pPr>
        <w:spacing w:line="500" w:lineRule="exact"/>
        <w:rPr>
          <w:rFonts w:ascii="宋体" w:hAnsi="宋体" w:cs="宋体"/>
          <w:b/>
          <w:bCs/>
          <w:color w:val="auto"/>
          <w:highlight w:val="none"/>
        </w:rPr>
        <w:sectPr>
          <w:pgSz w:w="11906" w:h="16838"/>
          <w:pgMar w:top="1440" w:right="1440" w:bottom="1440" w:left="1440" w:header="851" w:footer="992" w:gutter="0"/>
          <w:pgNumType w:fmt="decimal"/>
          <w:cols w:space="720" w:num="1"/>
          <w:docGrid w:type="lines" w:linePitch="312" w:charSpace="0"/>
        </w:sectPr>
      </w:pPr>
      <w:r>
        <w:rPr>
          <w:rFonts w:hint="eastAsia" w:ascii="宋体" w:hAnsi="宋体" w:cs="宋体"/>
          <w:color w:val="auto"/>
          <w:highlight w:val="none"/>
        </w:rPr>
        <w:t xml:space="preserve">                                         签发日期：</w:t>
      </w:r>
      <w:bookmarkStart w:id="230" w:name="_Toc520812011"/>
      <w:bookmarkStart w:id="231" w:name="_Toc5167"/>
      <w:bookmarkStart w:id="232" w:name="_Toc31587"/>
    </w:p>
    <w:p>
      <w:pPr>
        <w:pStyle w:val="4"/>
        <w:adjustRightInd w:val="0"/>
        <w:snapToGrid w:val="0"/>
        <w:spacing w:beforeLines="50" w:afterLines="50" w:line="360" w:lineRule="auto"/>
        <w:jc w:val="center"/>
        <w:rPr>
          <w:rFonts w:ascii="宋体" w:hAnsi="宋体" w:eastAsia="宋体" w:cs="宋体"/>
          <w:color w:val="auto"/>
          <w:highlight w:val="none"/>
        </w:rPr>
      </w:pPr>
      <w:bookmarkStart w:id="233" w:name="_Toc14941"/>
      <w:r>
        <w:rPr>
          <w:rFonts w:hint="eastAsia" w:ascii="宋体" w:hAnsi="宋体" w:eastAsia="宋体" w:cs="宋体"/>
          <w:color w:val="auto"/>
          <w:highlight w:val="none"/>
        </w:rPr>
        <w:t>“★”号实质性条款响应表</w:t>
      </w:r>
      <w:bookmarkEnd w:id="230"/>
      <w:bookmarkEnd w:id="231"/>
      <w:bookmarkEnd w:id="232"/>
      <w:r>
        <w:rPr>
          <w:rFonts w:hint="eastAsia" w:ascii="宋体" w:hAnsi="宋体" w:eastAsia="宋体" w:cs="宋体"/>
          <w:color w:val="auto"/>
          <w:highlight w:val="none"/>
        </w:rPr>
        <w:t>（如有）</w:t>
      </w:r>
      <w:bookmarkEnd w:id="233"/>
    </w:p>
    <w:tbl>
      <w:tblPr>
        <w:tblStyle w:val="40"/>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2"/>
        <w:gridCol w:w="1305"/>
        <w:gridCol w:w="1360"/>
        <w:gridCol w:w="2893"/>
        <w:gridCol w:w="128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922" w:type="dxa"/>
            <w:shd w:val="clear" w:color="auto" w:fill="EEECE1"/>
            <w:vAlign w:val="center"/>
          </w:tcPr>
          <w:p>
            <w:pPr>
              <w:spacing w:line="360" w:lineRule="auto"/>
              <w:jc w:val="center"/>
              <w:rPr>
                <w:rFonts w:ascii="宋体" w:hAnsi="宋体" w:cs="宋体"/>
                <w:b/>
                <w:color w:val="auto"/>
                <w:szCs w:val="21"/>
                <w:highlight w:val="none"/>
              </w:rPr>
            </w:pPr>
            <w:r>
              <w:rPr>
                <w:rFonts w:hint="eastAsia" w:ascii="宋体" w:hAnsi="宋体" w:cs="宋体"/>
                <w:b/>
                <w:color w:val="auto"/>
                <w:kern w:val="1"/>
                <w:szCs w:val="21"/>
                <w:highlight w:val="none"/>
              </w:rPr>
              <w:t>序号</w:t>
            </w:r>
          </w:p>
        </w:tc>
        <w:tc>
          <w:tcPr>
            <w:tcW w:w="1305" w:type="dxa"/>
            <w:shd w:val="clear" w:color="auto" w:fill="EEECE1"/>
            <w:vAlign w:val="center"/>
          </w:tcPr>
          <w:p>
            <w:pPr>
              <w:pStyle w:val="57"/>
              <w:spacing w:line="360" w:lineRule="auto"/>
              <w:jc w:val="center"/>
              <w:rPr>
                <w:rFonts w:ascii="宋体" w:hAnsi="宋体" w:cs="宋体"/>
                <w:b/>
                <w:color w:val="auto"/>
                <w:szCs w:val="21"/>
                <w:highlight w:val="none"/>
              </w:rPr>
            </w:pPr>
            <w:r>
              <w:rPr>
                <w:rFonts w:hint="eastAsia" w:ascii="宋体" w:hAnsi="宋体" w:cs="宋体"/>
                <w:b/>
                <w:color w:val="auto"/>
                <w:kern w:val="1"/>
                <w:szCs w:val="21"/>
                <w:highlight w:val="none"/>
              </w:rPr>
              <w:t>实质性响应条款</w:t>
            </w:r>
          </w:p>
        </w:tc>
        <w:tc>
          <w:tcPr>
            <w:tcW w:w="1360" w:type="dxa"/>
            <w:shd w:val="clear" w:color="auto" w:fill="EEECE1"/>
            <w:vAlign w:val="center"/>
          </w:tcPr>
          <w:p>
            <w:pPr>
              <w:pStyle w:val="57"/>
              <w:spacing w:line="360" w:lineRule="auto"/>
              <w:jc w:val="center"/>
              <w:rPr>
                <w:rFonts w:ascii="宋体" w:hAnsi="宋体" w:cs="宋体"/>
                <w:b/>
                <w:color w:val="auto"/>
                <w:szCs w:val="21"/>
                <w:highlight w:val="none"/>
              </w:rPr>
            </w:pPr>
            <w:r>
              <w:rPr>
                <w:rFonts w:hint="eastAsia" w:ascii="宋体" w:hAnsi="宋体" w:cs="宋体"/>
                <w:b/>
                <w:color w:val="auto"/>
                <w:kern w:val="1"/>
                <w:szCs w:val="21"/>
                <w:highlight w:val="none"/>
              </w:rPr>
              <w:t>投标人响应描述</w:t>
            </w:r>
          </w:p>
        </w:tc>
        <w:tc>
          <w:tcPr>
            <w:tcW w:w="2893" w:type="dxa"/>
            <w:shd w:val="clear" w:color="auto" w:fill="EEECE1"/>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投标响应</w:t>
            </w:r>
          </w:p>
          <w:p>
            <w:pPr>
              <w:spacing w:line="360" w:lineRule="auto"/>
              <w:jc w:val="center"/>
              <w:rPr>
                <w:rFonts w:ascii="宋体" w:hAnsi="宋体" w:cs="宋体"/>
                <w:b/>
                <w:color w:val="auto"/>
                <w:szCs w:val="21"/>
                <w:highlight w:val="none"/>
              </w:rPr>
            </w:pPr>
            <w:r>
              <w:rPr>
                <w:rFonts w:hint="eastAsia" w:ascii="宋体" w:hAnsi="宋体" w:cs="宋体"/>
                <w:b/>
                <w:color w:val="auto"/>
                <w:kern w:val="1"/>
                <w:szCs w:val="21"/>
                <w:highlight w:val="none"/>
              </w:rPr>
              <w:t>(正偏离、完全响应、负偏离)</w:t>
            </w:r>
          </w:p>
        </w:tc>
        <w:tc>
          <w:tcPr>
            <w:tcW w:w="1285" w:type="dxa"/>
            <w:shd w:val="clear" w:color="auto" w:fill="EEECE1"/>
            <w:vAlign w:val="center"/>
          </w:tcPr>
          <w:p>
            <w:pPr>
              <w:spacing w:line="360" w:lineRule="auto"/>
              <w:jc w:val="center"/>
              <w:rPr>
                <w:rFonts w:ascii="宋体" w:hAnsi="宋体" w:cs="宋体"/>
                <w:b/>
                <w:color w:val="auto"/>
                <w:szCs w:val="21"/>
                <w:highlight w:val="none"/>
              </w:rPr>
            </w:pPr>
            <w:r>
              <w:rPr>
                <w:rFonts w:hint="eastAsia" w:ascii="宋体" w:hAnsi="宋体" w:cs="宋体"/>
                <w:b/>
                <w:color w:val="auto"/>
                <w:kern w:val="1"/>
                <w:szCs w:val="21"/>
                <w:highlight w:val="none"/>
              </w:rPr>
              <w:t>偏离说明</w:t>
            </w:r>
          </w:p>
        </w:tc>
        <w:tc>
          <w:tcPr>
            <w:tcW w:w="1470" w:type="dxa"/>
            <w:shd w:val="clear" w:color="auto" w:fill="EEECE1"/>
            <w:vAlign w:val="center"/>
          </w:tcPr>
          <w:p>
            <w:pPr>
              <w:spacing w:line="360" w:lineRule="auto"/>
              <w:jc w:val="center"/>
              <w:rPr>
                <w:rFonts w:ascii="宋体" w:hAnsi="宋体" w:cs="宋体"/>
                <w:b/>
                <w:color w:val="auto"/>
                <w:szCs w:val="21"/>
                <w:highlight w:val="none"/>
              </w:rPr>
            </w:pPr>
            <w:r>
              <w:rPr>
                <w:rFonts w:hint="eastAsia" w:ascii="宋体" w:hAnsi="宋体" w:cs="宋体"/>
                <w:b/>
                <w:color w:val="auto"/>
                <w:kern w:val="1"/>
                <w:szCs w:val="21"/>
                <w:highlight w:val="none"/>
              </w:rPr>
              <w:t>响应页码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2" w:type="dxa"/>
            <w:vAlign w:val="center"/>
          </w:tcPr>
          <w:p>
            <w:pPr>
              <w:numPr>
                <w:ilvl w:val="0"/>
                <w:numId w:val="58"/>
              </w:numPr>
              <w:spacing w:line="360" w:lineRule="auto"/>
              <w:jc w:val="center"/>
              <w:rPr>
                <w:rFonts w:ascii="宋体" w:hAnsi="宋体" w:cs="宋体"/>
                <w:bCs/>
                <w:color w:val="auto"/>
                <w:kern w:val="1"/>
                <w:szCs w:val="21"/>
                <w:highlight w:val="none"/>
              </w:rPr>
            </w:pPr>
          </w:p>
        </w:tc>
        <w:tc>
          <w:tcPr>
            <w:tcW w:w="1305" w:type="dxa"/>
          </w:tcPr>
          <w:p>
            <w:pPr>
              <w:pStyle w:val="151"/>
              <w:spacing w:line="360" w:lineRule="auto"/>
              <w:rPr>
                <w:rFonts w:ascii="宋体" w:hAnsi="宋体" w:cs="宋体"/>
                <w:color w:val="auto"/>
                <w:sz w:val="21"/>
                <w:szCs w:val="21"/>
                <w:highlight w:val="none"/>
              </w:rPr>
            </w:pPr>
          </w:p>
        </w:tc>
        <w:tc>
          <w:tcPr>
            <w:tcW w:w="1360" w:type="dxa"/>
          </w:tcPr>
          <w:p>
            <w:pPr>
              <w:pStyle w:val="151"/>
              <w:spacing w:line="360" w:lineRule="auto"/>
              <w:jc w:val="center"/>
              <w:rPr>
                <w:rFonts w:ascii="宋体" w:hAnsi="宋体" w:cs="宋体"/>
                <w:color w:val="auto"/>
                <w:sz w:val="21"/>
                <w:szCs w:val="21"/>
                <w:highlight w:val="none"/>
              </w:rPr>
            </w:pPr>
          </w:p>
        </w:tc>
        <w:tc>
          <w:tcPr>
            <w:tcW w:w="2893" w:type="dxa"/>
          </w:tcPr>
          <w:p>
            <w:pPr>
              <w:pStyle w:val="151"/>
              <w:spacing w:line="360" w:lineRule="auto"/>
              <w:jc w:val="center"/>
              <w:rPr>
                <w:rFonts w:ascii="宋体" w:hAnsi="宋体" w:cs="宋体"/>
                <w:color w:val="auto"/>
                <w:sz w:val="21"/>
                <w:szCs w:val="21"/>
                <w:highlight w:val="none"/>
              </w:rPr>
            </w:pPr>
          </w:p>
        </w:tc>
        <w:tc>
          <w:tcPr>
            <w:tcW w:w="1285" w:type="dxa"/>
          </w:tcPr>
          <w:p>
            <w:pPr>
              <w:pStyle w:val="151"/>
              <w:spacing w:line="360" w:lineRule="auto"/>
              <w:jc w:val="center"/>
              <w:rPr>
                <w:rFonts w:ascii="宋体" w:hAnsi="宋体" w:cs="宋体"/>
                <w:color w:val="auto"/>
                <w:sz w:val="21"/>
                <w:szCs w:val="21"/>
                <w:highlight w:val="none"/>
              </w:rPr>
            </w:pPr>
          </w:p>
        </w:tc>
        <w:tc>
          <w:tcPr>
            <w:tcW w:w="1470" w:type="dxa"/>
            <w:vAlign w:val="center"/>
          </w:tcPr>
          <w:p>
            <w:pPr>
              <w:spacing w:line="360" w:lineRule="auto"/>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详见投标文件（）页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2" w:type="dxa"/>
            <w:vAlign w:val="center"/>
          </w:tcPr>
          <w:p>
            <w:pPr>
              <w:numPr>
                <w:ilvl w:val="0"/>
                <w:numId w:val="58"/>
              </w:numPr>
              <w:spacing w:line="360" w:lineRule="auto"/>
              <w:jc w:val="center"/>
              <w:rPr>
                <w:rFonts w:ascii="宋体" w:hAnsi="宋体" w:cs="宋体"/>
                <w:bCs/>
                <w:color w:val="auto"/>
                <w:kern w:val="1"/>
                <w:szCs w:val="21"/>
                <w:highlight w:val="none"/>
              </w:rPr>
            </w:pPr>
          </w:p>
        </w:tc>
        <w:tc>
          <w:tcPr>
            <w:tcW w:w="1305" w:type="dxa"/>
          </w:tcPr>
          <w:p>
            <w:pPr>
              <w:pStyle w:val="151"/>
              <w:spacing w:line="360" w:lineRule="auto"/>
              <w:jc w:val="center"/>
              <w:rPr>
                <w:rFonts w:ascii="宋体" w:hAnsi="宋体" w:cs="宋体"/>
                <w:color w:val="auto"/>
                <w:sz w:val="21"/>
                <w:szCs w:val="21"/>
                <w:highlight w:val="none"/>
              </w:rPr>
            </w:pPr>
          </w:p>
        </w:tc>
        <w:tc>
          <w:tcPr>
            <w:tcW w:w="1360" w:type="dxa"/>
          </w:tcPr>
          <w:p>
            <w:pPr>
              <w:pStyle w:val="151"/>
              <w:spacing w:line="360" w:lineRule="auto"/>
              <w:jc w:val="center"/>
              <w:rPr>
                <w:rFonts w:ascii="宋体" w:hAnsi="宋体" w:cs="宋体"/>
                <w:color w:val="auto"/>
                <w:sz w:val="21"/>
                <w:szCs w:val="21"/>
                <w:highlight w:val="none"/>
              </w:rPr>
            </w:pPr>
          </w:p>
        </w:tc>
        <w:tc>
          <w:tcPr>
            <w:tcW w:w="2893" w:type="dxa"/>
          </w:tcPr>
          <w:p>
            <w:pPr>
              <w:pStyle w:val="151"/>
              <w:spacing w:line="360" w:lineRule="auto"/>
              <w:jc w:val="center"/>
              <w:rPr>
                <w:rFonts w:ascii="宋体" w:hAnsi="宋体" w:cs="宋体"/>
                <w:color w:val="auto"/>
                <w:sz w:val="21"/>
                <w:szCs w:val="21"/>
                <w:highlight w:val="none"/>
              </w:rPr>
            </w:pPr>
          </w:p>
        </w:tc>
        <w:tc>
          <w:tcPr>
            <w:tcW w:w="1285" w:type="dxa"/>
          </w:tcPr>
          <w:p>
            <w:pPr>
              <w:pStyle w:val="151"/>
              <w:spacing w:line="360" w:lineRule="auto"/>
              <w:jc w:val="center"/>
              <w:rPr>
                <w:rFonts w:ascii="宋体" w:hAnsi="宋体" w:cs="宋体"/>
                <w:color w:val="auto"/>
                <w:sz w:val="21"/>
                <w:szCs w:val="21"/>
                <w:highlight w:val="none"/>
              </w:rPr>
            </w:pPr>
          </w:p>
        </w:tc>
        <w:tc>
          <w:tcPr>
            <w:tcW w:w="1470" w:type="dxa"/>
            <w:vAlign w:val="center"/>
          </w:tcPr>
          <w:p>
            <w:pPr>
              <w:spacing w:line="360" w:lineRule="auto"/>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详见投标文件（）页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2" w:type="dxa"/>
            <w:vAlign w:val="center"/>
          </w:tcPr>
          <w:p>
            <w:pPr>
              <w:numPr>
                <w:ilvl w:val="0"/>
                <w:numId w:val="58"/>
              </w:numPr>
              <w:spacing w:line="360" w:lineRule="auto"/>
              <w:jc w:val="center"/>
              <w:rPr>
                <w:rFonts w:ascii="宋体" w:hAnsi="宋体" w:cs="宋体"/>
                <w:bCs/>
                <w:color w:val="auto"/>
                <w:kern w:val="1"/>
                <w:szCs w:val="21"/>
                <w:highlight w:val="none"/>
              </w:rPr>
            </w:pPr>
          </w:p>
        </w:tc>
        <w:tc>
          <w:tcPr>
            <w:tcW w:w="1305" w:type="dxa"/>
          </w:tcPr>
          <w:p>
            <w:pPr>
              <w:pStyle w:val="151"/>
              <w:spacing w:line="360" w:lineRule="auto"/>
              <w:jc w:val="center"/>
              <w:rPr>
                <w:rFonts w:ascii="宋体" w:hAnsi="宋体" w:cs="宋体"/>
                <w:color w:val="auto"/>
                <w:sz w:val="21"/>
                <w:szCs w:val="21"/>
                <w:highlight w:val="none"/>
              </w:rPr>
            </w:pPr>
          </w:p>
        </w:tc>
        <w:tc>
          <w:tcPr>
            <w:tcW w:w="1360" w:type="dxa"/>
          </w:tcPr>
          <w:p>
            <w:pPr>
              <w:pStyle w:val="151"/>
              <w:spacing w:line="360" w:lineRule="auto"/>
              <w:jc w:val="center"/>
              <w:rPr>
                <w:rFonts w:ascii="宋体" w:hAnsi="宋体" w:cs="宋体"/>
                <w:color w:val="auto"/>
                <w:sz w:val="21"/>
                <w:szCs w:val="21"/>
                <w:highlight w:val="none"/>
              </w:rPr>
            </w:pPr>
          </w:p>
        </w:tc>
        <w:tc>
          <w:tcPr>
            <w:tcW w:w="2893" w:type="dxa"/>
          </w:tcPr>
          <w:p>
            <w:pPr>
              <w:pStyle w:val="151"/>
              <w:spacing w:line="360" w:lineRule="auto"/>
              <w:jc w:val="center"/>
              <w:rPr>
                <w:rFonts w:ascii="宋体" w:hAnsi="宋体" w:cs="宋体"/>
                <w:color w:val="auto"/>
                <w:sz w:val="21"/>
                <w:szCs w:val="21"/>
                <w:highlight w:val="none"/>
              </w:rPr>
            </w:pPr>
          </w:p>
        </w:tc>
        <w:tc>
          <w:tcPr>
            <w:tcW w:w="1285" w:type="dxa"/>
          </w:tcPr>
          <w:p>
            <w:pPr>
              <w:pStyle w:val="151"/>
              <w:spacing w:line="360" w:lineRule="auto"/>
              <w:jc w:val="center"/>
              <w:rPr>
                <w:rFonts w:ascii="宋体" w:hAnsi="宋体" w:cs="宋体"/>
                <w:color w:val="auto"/>
                <w:sz w:val="21"/>
                <w:szCs w:val="21"/>
                <w:highlight w:val="none"/>
              </w:rPr>
            </w:pPr>
          </w:p>
        </w:tc>
        <w:tc>
          <w:tcPr>
            <w:tcW w:w="1470" w:type="dxa"/>
            <w:vAlign w:val="center"/>
          </w:tcPr>
          <w:p>
            <w:pPr>
              <w:spacing w:line="360" w:lineRule="auto"/>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详见投标文件（）页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2" w:type="dxa"/>
            <w:vAlign w:val="center"/>
          </w:tcPr>
          <w:p>
            <w:pPr>
              <w:numPr>
                <w:ilvl w:val="0"/>
                <w:numId w:val="58"/>
              </w:numPr>
              <w:spacing w:line="360" w:lineRule="auto"/>
              <w:jc w:val="center"/>
              <w:rPr>
                <w:rFonts w:ascii="宋体" w:hAnsi="宋体" w:cs="宋体"/>
                <w:bCs/>
                <w:color w:val="auto"/>
                <w:kern w:val="1"/>
                <w:szCs w:val="21"/>
                <w:highlight w:val="none"/>
              </w:rPr>
            </w:pPr>
          </w:p>
        </w:tc>
        <w:tc>
          <w:tcPr>
            <w:tcW w:w="1305" w:type="dxa"/>
          </w:tcPr>
          <w:p>
            <w:pPr>
              <w:pStyle w:val="151"/>
              <w:spacing w:line="360" w:lineRule="auto"/>
              <w:jc w:val="center"/>
              <w:rPr>
                <w:rFonts w:ascii="宋体" w:hAnsi="宋体" w:cs="宋体"/>
                <w:color w:val="auto"/>
                <w:sz w:val="21"/>
                <w:szCs w:val="21"/>
                <w:highlight w:val="none"/>
              </w:rPr>
            </w:pPr>
          </w:p>
        </w:tc>
        <w:tc>
          <w:tcPr>
            <w:tcW w:w="1360" w:type="dxa"/>
          </w:tcPr>
          <w:p>
            <w:pPr>
              <w:pStyle w:val="151"/>
              <w:spacing w:line="360" w:lineRule="auto"/>
              <w:jc w:val="center"/>
              <w:rPr>
                <w:rFonts w:ascii="宋体" w:hAnsi="宋体" w:cs="宋体"/>
                <w:color w:val="auto"/>
                <w:sz w:val="21"/>
                <w:szCs w:val="21"/>
                <w:highlight w:val="none"/>
              </w:rPr>
            </w:pPr>
          </w:p>
        </w:tc>
        <w:tc>
          <w:tcPr>
            <w:tcW w:w="2893" w:type="dxa"/>
          </w:tcPr>
          <w:p>
            <w:pPr>
              <w:pStyle w:val="151"/>
              <w:spacing w:line="360" w:lineRule="auto"/>
              <w:jc w:val="center"/>
              <w:rPr>
                <w:rFonts w:ascii="宋体" w:hAnsi="宋体" w:cs="宋体"/>
                <w:color w:val="auto"/>
                <w:sz w:val="21"/>
                <w:szCs w:val="21"/>
                <w:highlight w:val="none"/>
              </w:rPr>
            </w:pPr>
          </w:p>
        </w:tc>
        <w:tc>
          <w:tcPr>
            <w:tcW w:w="1285" w:type="dxa"/>
          </w:tcPr>
          <w:p>
            <w:pPr>
              <w:pStyle w:val="151"/>
              <w:spacing w:line="360" w:lineRule="auto"/>
              <w:jc w:val="center"/>
              <w:rPr>
                <w:rFonts w:ascii="宋体" w:hAnsi="宋体" w:cs="宋体"/>
                <w:color w:val="auto"/>
                <w:sz w:val="21"/>
                <w:szCs w:val="21"/>
                <w:highlight w:val="none"/>
              </w:rPr>
            </w:pPr>
          </w:p>
        </w:tc>
        <w:tc>
          <w:tcPr>
            <w:tcW w:w="1470" w:type="dxa"/>
            <w:vAlign w:val="center"/>
          </w:tcPr>
          <w:p>
            <w:pPr>
              <w:spacing w:line="360" w:lineRule="auto"/>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详见投标文件（）页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2" w:type="dxa"/>
            <w:vAlign w:val="center"/>
          </w:tcPr>
          <w:p>
            <w:pPr>
              <w:spacing w:line="360" w:lineRule="auto"/>
              <w:jc w:val="center"/>
              <w:rPr>
                <w:rFonts w:ascii="宋体" w:hAnsi="宋体" w:cs="宋体"/>
                <w:bCs/>
                <w:color w:val="auto"/>
                <w:kern w:val="1"/>
                <w:szCs w:val="21"/>
                <w:highlight w:val="none"/>
              </w:rPr>
            </w:pPr>
            <w:r>
              <w:rPr>
                <w:rFonts w:hint="eastAsia" w:ascii="宋体" w:hAnsi="宋体" w:cs="宋体"/>
                <w:bCs/>
                <w:color w:val="auto"/>
                <w:szCs w:val="21"/>
                <w:highlight w:val="none"/>
              </w:rPr>
              <w:t>…</w:t>
            </w:r>
          </w:p>
        </w:tc>
        <w:tc>
          <w:tcPr>
            <w:tcW w:w="1305" w:type="dxa"/>
          </w:tcPr>
          <w:p>
            <w:pPr>
              <w:pStyle w:val="151"/>
              <w:spacing w:line="360" w:lineRule="auto"/>
              <w:jc w:val="center"/>
              <w:rPr>
                <w:rFonts w:ascii="宋体" w:hAnsi="宋体" w:cs="宋体"/>
                <w:color w:val="auto"/>
                <w:sz w:val="21"/>
                <w:szCs w:val="21"/>
                <w:highlight w:val="none"/>
              </w:rPr>
            </w:pPr>
          </w:p>
        </w:tc>
        <w:tc>
          <w:tcPr>
            <w:tcW w:w="1360" w:type="dxa"/>
          </w:tcPr>
          <w:p>
            <w:pPr>
              <w:pStyle w:val="151"/>
              <w:spacing w:line="360" w:lineRule="auto"/>
              <w:jc w:val="center"/>
              <w:rPr>
                <w:rFonts w:ascii="宋体" w:hAnsi="宋体" w:cs="宋体"/>
                <w:color w:val="auto"/>
                <w:sz w:val="21"/>
                <w:szCs w:val="21"/>
                <w:highlight w:val="none"/>
              </w:rPr>
            </w:pPr>
          </w:p>
        </w:tc>
        <w:tc>
          <w:tcPr>
            <w:tcW w:w="2893" w:type="dxa"/>
          </w:tcPr>
          <w:p>
            <w:pPr>
              <w:pStyle w:val="151"/>
              <w:spacing w:line="360" w:lineRule="auto"/>
              <w:jc w:val="center"/>
              <w:rPr>
                <w:rFonts w:ascii="宋体" w:hAnsi="宋体" w:cs="宋体"/>
                <w:color w:val="auto"/>
                <w:sz w:val="21"/>
                <w:szCs w:val="21"/>
                <w:highlight w:val="none"/>
              </w:rPr>
            </w:pPr>
          </w:p>
        </w:tc>
        <w:tc>
          <w:tcPr>
            <w:tcW w:w="1285" w:type="dxa"/>
          </w:tcPr>
          <w:p>
            <w:pPr>
              <w:pStyle w:val="151"/>
              <w:spacing w:line="360" w:lineRule="auto"/>
              <w:jc w:val="center"/>
              <w:rPr>
                <w:rFonts w:ascii="宋体" w:hAnsi="宋体" w:cs="宋体"/>
                <w:color w:val="auto"/>
                <w:sz w:val="21"/>
                <w:szCs w:val="21"/>
                <w:highlight w:val="none"/>
              </w:rPr>
            </w:pPr>
          </w:p>
        </w:tc>
        <w:tc>
          <w:tcPr>
            <w:tcW w:w="1470" w:type="dxa"/>
          </w:tcPr>
          <w:p>
            <w:pPr>
              <w:pStyle w:val="151"/>
              <w:spacing w:line="360" w:lineRule="auto"/>
              <w:jc w:val="center"/>
              <w:rPr>
                <w:rFonts w:ascii="宋体" w:hAnsi="宋体" w:cs="宋体"/>
                <w:color w:val="auto"/>
                <w:sz w:val="21"/>
                <w:szCs w:val="21"/>
                <w:highlight w:val="none"/>
              </w:rPr>
            </w:pPr>
          </w:p>
        </w:tc>
      </w:tr>
    </w:tbl>
    <w:p>
      <w:pPr>
        <w:pStyle w:val="63"/>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说明：</w:t>
      </w:r>
    </w:p>
    <w:p>
      <w:pPr>
        <w:pStyle w:val="63"/>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1.投标人必须对应招标文件“第三章用户需求书”的“★” 项内容</w:t>
      </w:r>
      <w:r>
        <w:rPr>
          <w:rFonts w:hint="eastAsia" w:ascii="宋体" w:hAnsi="宋体" w:cs="宋体"/>
          <w:b/>
          <w:bCs/>
          <w:color w:val="auto"/>
          <w:kern w:val="1"/>
          <w:szCs w:val="21"/>
          <w:highlight w:val="none"/>
        </w:rPr>
        <w:t>逐条响应</w:t>
      </w:r>
      <w:r>
        <w:rPr>
          <w:rFonts w:hint="eastAsia" w:ascii="宋体" w:hAnsi="宋体" w:cs="宋体"/>
          <w:color w:val="auto"/>
          <w:kern w:val="1"/>
          <w:szCs w:val="21"/>
          <w:highlight w:val="none"/>
        </w:rPr>
        <w:t>。若有一项带“★”的指标未响应或不满足，将按无效投标处理。</w:t>
      </w:r>
    </w:p>
    <w:p>
      <w:pPr>
        <w:pStyle w:val="63"/>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2.投标人按实际响应情况在上表“投标响应”列中中明确其响应为正偏离/完全响应/负偏离。如有正/负偏离的条目，请在“偏离说明”列中说明偏离情况。</w:t>
      </w:r>
    </w:p>
    <w:p>
      <w:pPr>
        <w:pStyle w:val="63"/>
        <w:spacing w:line="360" w:lineRule="auto"/>
        <w:rPr>
          <w:rFonts w:ascii="宋体" w:hAnsi="宋体" w:cs="宋体"/>
          <w:b/>
          <w:bCs/>
          <w:color w:val="auto"/>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bCs/>
          <w:color w:val="auto"/>
          <w:highlight w:val="none"/>
        </w:rPr>
        <w:t>用户需求书的实质性条款要求提供证明资料的须按要求提供，否则</w:t>
      </w:r>
      <w:r>
        <w:rPr>
          <w:rFonts w:hint="eastAsia" w:ascii="宋体" w:hAnsi="宋体" w:cs="宋体"/>
          <w:b/>
          <w:bCs/>
          <w:color w:val="auto"/>
          <w:kern w:val="1"/>
          <w:szCs w:val="21"/>
          <w:highlight w:val="none"/>
        </w:rPr>
        <w:t>将作未响应或不满足处理。</w:t>
      </w:r>
    </w:p>
    <w:p>
      <w:pPr>
        <w:spacing w:line="500" w:lineRule="exact"/>
        <w:rPr>
          <w:rFonts w:ascii="宋体" w:hAnsi="宋体" w:cs="宋体"/>
          <w:color w:val="auto"/>
          <w:highlight w:val="none"/>
          <w:u w:val="single"/>
        </w:rPr>
      </w:pPr>
      <w:r>
        <w:rPr>
          <w:rFonts w:hint="eastAsia" w:ascii="宋体" w:hAnsi="宋体" w:cs="宋体"/>
          <w:color w:val="auto"/>
          <w:spacing w:val="4"/>
          <w:highlight w:val="none"/>
        </w:rPr>
        <w:t>投标人名称（</w:t>
      </w:r>
      <w:r>
        <w:rPr>
          <w:rFonts w:hint="eastAsia" w:ascii="宋体" w:hAnsi="宋体" w:cs="宋体"/>
          <w:color w:val="auto"/>
          <w:highlight w:val="none"/>
        </w:rPr>
        <w:t>单位盖</w:t>
      </w:r>
      <w:r>
        <w:rPr>
          <w:rFonts w:hint="eastAsia" w:ascii="宋体" w:hAnsi="宋体" w:cs="宋体"/>
          <w:color w:val="auto"/>
          <w:spacing w:val="4"/>
          <w:highlight w:val="none"/>
        </w:rPr>
        <w:t>公章）：</w:t>
      </w:r>
      <w:r>
        <w:rPr>
          <w:rFonts w:hint="eastAsia" w:ascii="宋体" w:hAnsi="宋体" w:cs="宋体"/>
          <w:bCs/>
          <w:color w:val="auto"/>
          <w:szCs w:val="21"/>
          <w:highlight w:val="none"/>
          <w:u w:val="single"/>
        </w:rPr>
        <w:t xml:space="preserve">                               </w:t>
      </w:r>
    </w:p>
    <w:p>
      <w:pPr>
        <w:spacing w:line="52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bCs/>
          <w:color w:val="auto"/>
          <w:szCs w:val="21"/>
          <w:highlight w:val="none"/>
          <w:u w:val="single"/>
        </w:rPr>
        <w:t xml:space="preserve">                               </w:t>
      </w:r>
    </w:p>
    <w:p>
      <w:pPr>
        <w:spacing w:line="360" w:lineRule="auto"/>
        <w:rPr>
          <w:rFonts w:ascii="宋体" w:hAnsi="宋体" w:cs="宋体"/>
          <w:color w:val="auto"/>
          <w:szCs w:val="21"/>
          <w:highlight w:val="none"/>
        </w:rPr>
      </w:pPr>
      <w:bookmarkStart w:id="234" w:name="_Toc520812012"/>
      <w:bookmarkStart w:id="235" w:name="_Toc13201"/>
    </w:p>
    <w:p>
      <w:pPr>
        <w:spacing w:line="440" w:lineRule="exact"/>
        <w:outlineLvl w:val="1"/>
        <w:rPr>
          <w:rFonts w:ascii="宋体" w:hAnsi="宋体" w:cs="宋体"/>
          <w:b/>
          <w:bCs/>
          <w:color w:val="auto"/>
          <w:highlight w:val="none"/>
        </w:rPr>
        <w:sectPr>
          <w:pgSz w:w="11906" w:h="16838"/>
          <w:pgMar w:top="1440" w:right="1440" w:bottom="1440" w:left="1440" w:header="851" w:footer="992" w:gutter="0"/>
          <w:pgNumType w:fmt="decimal"/>
          <w:cols w:space="720" w:num="1"/>
          <w:docGrid w:type="lines" w:linePitch="316" w:charSpace="0"/>
        </w:sectPr>
      </w:pPr>
      <w:bookmarkStart w:id="236" w:name="_Toc6511"/>
    </w:p>
    <w:p>
      <w:pPr>
        <w:spacing w:line="360" w:lineRule="auto"/>
        <w:jc w:val="center"/>
        <w:outlineLvl w:val="1"/>
        <w:rPr>
          <w:rFonts w:ascii="宋体" w:hAnsi="宋体" w:cs="宋体"/>
          <w:b/>
          <w:color w:val="auto"/>
          <w:highlight w:val="none"/>
        </w:rPr>
      </w:pPr>
      <w:bookmarkStart w:id="237" w:name="_Toc2860"/>
      <w:r>
        <w:rPr>
          <w:rFonts w:hint="eastAsia" w:ascii="宋体" w:hAnsi="宋体" w:cs="宋体"/>
          <w:b/>
          <w:color w:val="auto"/>
          <w:sz w:val="32"/>
          <w:szCs w:val="32"/>
          <w:highlight w:val="none"/>
        </w:rPr>
        <w:t>用户需求书响应表</w:t>
      </w:r>
      <w:bookmarkEnd w:id="234"/>
      <w:bookmarkEnd w:id="235"/>
      <w:bookmarkEnd w:id="236"/>
      <w:bookmarkEnd w:id="237"/>
    </w:p>
    <w:tbl>
      <w:tblPr>
        <w:tblStyle w:val="40"/>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72"/>
        <w:gridCol w:w="2975"/>
        <w:gridCol w:w="3075"/>
        <w:gridCol w:w="18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743" w:type="pct"/>
            <w:shd w:val="clear" w:color="auto" w:fill="EEECE1"/>
            <w:vAlign w:val="center"/>
          </w:tcPr>
          <w:p>
            <w:pPr>
              <w:pStyle w:val="151"/>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610" w:type="pct"/>
            <w:shd w:val="clear" w:color="auto" w:fill="EEECE1"/>
            <w:vAlign w:val="center"/>
          </w:tcPr>
          <w:p>
            <w:pPr>
              <w:pStyle w:val="151"/>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用户需求相关内容</w:t>
            </w:r>
          </w:p>
        </w:tc>
        <w:tc>
          <w:tcPr>
            <w:tcW w:w="1664" w:type="pct"/>
            <w:shd w:val="clear" w:color="auto" w:fill="EEECE1"/>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投标响应</w:t>
            </w:r>
          </w:p>
          <w:p>
            <w:pPr>
              <w:pStyle w:val="151"/>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(正偏离、完全响应、负偏离)</w:t>
            </w:r>
          </w:p>
        </w:tc>
        <w:tc>
          <w:tcPr>
            <w:tcW w:w="981" w:type="pct"/>
            <w:shd w:val="clear" w:color="auto" w:fill="EEECE1"/>
            <w:vAlign w:val="center"/>
          </w:tcPr>
          <w:p>
            <w:pPr>
              <w:pStyle w:val="151"/>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numPr>
                <w:ilvl w:val="0"/>
                <w:numId w:val="59"/>
              </w:numPr>
              <w:jc w:val="center"/>
              <w:rPr>
                <w:rFonts w:ascii="宋体" w:hAnsi="宋体" w:cs="宋体"/>
                <w:color w:val="auto"/>
                <w:szCs w:val="21"/>
                <w:highlight w:val="none"/>
              </w:rPr>
            </w:pP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pct"/>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10" w:type="pct"/>
          </w:tcPr>
          <w:p>
            <w:pPr>
              <w:pStyle w:val="151"/>
              <w:spacing w:line="360" w:lineRule="auto"/>
              <w:jc w:val="center"/>
              <w:rPr>
                <w:rFonts w:ascii="宋体" w:hAnsi="宋体" w:cs="宋体"/>
                <w:color w:val="auto"/>
                <w:sz w:val="21"/>
                <w:szCs w:val="21"/>
                <w:highlight w:val="none"/>
              </w:rPr>
            </w:pPr>
          </w:p>
        </w:tc>
        <w:tc>
          <w:tcPr>
            <w:tcW w:w="1664" w:type="pct"/>
          </w:tcPr>
          <w:p>
            <w:pPr>
              <w:pStyle w:val="151"/>
              <w:spacing w:line="360" w:lineRule="auto"/>
              <w:jc w:val="center"/>
              <w:rPr>
                <w:rFonts w:ascii="宋体" w:hAnsi="宋体" w:cs="宋体"/>
                <w:color w:val="auto"/>
                <w:sz w:val="21"/>
                <w:szCs w:val="21"/>
                <w:highlight w:val="none"/>
              </w:rPr>
            </w:pPr>
          </w:p>
        </w:tc>
        <w:tc>
          <w:tcPr>
            <w:tcW w:w="981" w:type="pct"/>
          </w:tcPr>
          <w:p>
            <w:pPr>
              <w:pStyle w:val="151"/>
              <w:spacing w:line="360" w:lineRule="auto"/>
              <w:jc w:val="center"/>
              <w:rPr>
                <w:rFonts w:ascii="宋体" w:hAnsi="宋体" w:cs="宋体"/>
                <w:color w:val="auto"/>
                <w:sz w:val="21"/>
                <w:szCs w:val="21"/>
                <w:highlight w:val="none"/>
              </w:rPr>
            </w:pPr>
          </w:p>
        </w:tc>
      </w:tr>
    </w:tbl>
    <w:p>
      <w:pPr>
        <w:pStyle w:val="81"/>
        <w:adjustRightInd w:val="0"/>
        <w:snapToGrid w:val="0"/>
        <w:spacing w:line="4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说明：</w:t>
      </w:r>
    </w:p>
    <w:p>
      <w:pPr>
        <w:pStyle w:val="63"/>
        <w:numPr>
          <w:ilvl w:val="0"/>
          <w:numId w:val="60"/>
        </w:num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投标人应根据招标文件“第三章用户需求书”</w:t>
      </w:r>
      <w:r>
        <w:rPr>
          <w:rFonts w:hint="eastAsia" w:ascii="宋体" w:hAnsi="宋体" w:cs="宋体"/>
          <w:b/>
          <w:bCs/>
          <w:color w:val="auto"/>
          <w:kern w:val="1"/>
          <w:szCs w:val="21"/>
          <w:highlight w:val="none"/>
        </w:rPr>
        <w:t>所有内容做出全面响应</w:t>
      </w:r>
      <w:r>
        <w:rPr>
          <w:rFonts w:hint="eastAsia" w:ascii="宋体" w:hAnsi="宋体" w:cs="宋体"/>
          <w:color w:val="auto"/>
          <w:kern w:val="1"/>
          <w:szCs w:val="21"/>
          <w:highlight w:val="none"/>
        </w:rPr>
        <w:t>，除</w:t>
      </w:r>
      <w:r>
        <w:rPr>
          <w:rFonts w:hint="eastAsia" w:ascii="宋体" w:hAnsi="宋体" w:cs="宋体"/>
          <w:color w:val="auto"/>
          <w:szCs w:val="21"/>
          <w:highlight w:val="none"/>
        </w:rPr>
        <w:t>带“★”号实际性条款</w:t>
      </w:r>
      <w:r>
        <w:rPr>
          <w:rFonts w:hint="eastAsia" w:ascii="宋体" w:hAnsi="宋体" w:cs="宋体"/>
          <w:color w:val="auto"/>
          <w:kern w:val="1"/>
          <w:szCs w:val="21"/>
          <w:highlight w:val="none"/>
        </w:rPr>
        <w:t>之外。</w:t>
      </w:r>
    </w:p>
    <w:p>
      <w:pPr>
        <w:pStyle w:val="63"/>
        <w:numPr>
          <w:ilvl w:val="0"/>
          <w:numId w:val="60"/>
        </w:num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投标人按实际响应情况在上表“投标响应”列中中明确其响应为正偏离/完全响应/负偏离。如有正/负偏离的条目，</w:t>
      </w:r>
      <w:r>
        <w:rPr>
          <w:rFonts w:hint="eastAsia" w:ascii="宋体" w:hAnsi="宋体" w:cs="宋体"/>
          <w:color w:val="auto"/>
          <w:kern w:val="1"/>
          <w:szCs w:val="21"/>
          <w:highlight w:val="none"/>
          <w:lang w:val="en-GB"/>
        </w:rPr>
        <w:t>请在“偏离说明”</w:t>
      </w:r>
      <w:r>
        <w:rPr>
          <w:rFonts w:hint="eastAsia" w:ascii="宋体" w:hAnsi="宋体" w:cs="宋体"/>
          <w:color w:val="auto"/>
          <w:kern w:val="1"/>
          <w:szCs w:val="21"/>
          <w:highlight w:val="none"/>
        </w:rPr>
        <w:t>列中</w:t>
      </w:r>
      <w:r>
        <w:rPr>
          <w:rFonts w:hint="eastAsia" w:ascii="宋体" w:hAnsi="宋体" w:cs="宋体"/>
          <w:color w:val="auto"/>
          <w:kern w:val="1"/>
          <w:szCs w:val="21"/>
          <w:highlight w:val="none"/>
          <w:lang w:val="en-GB"/>
        </w:rPr>
        <w:t>说明偏离情况</w:t>
      </w:r>
      <w:r>
        <w:rPr>
          <w:rFonts w:hint="eastAsia" w:ascii="宋体" w:hAnsi="宋体" w:cs="宋体"/>
          <w:color w:val="auto"/>
          <w:kern w:val="1"/>
          <w:szCs w:val="21"/>
          <w:highlight w:val="none"/>
        </w:rPr>
        <w:t>。</w:t>
      </w:r>
      <w:r>
        <w:rPr>
          <w:rFonts w:hint="eastAsia" w:ascii="宋体" w:hAnsi="宋体" w:cs="宋体"/>
          <w:color w:val="auto"/>
          <w:szCs w:val="21"/>
          <w:highlight w:val="none"/>
        </w:rPr>
        <w:t>如无偏离则不需列明。</w:t>
      </w:r>
    </w:p>
    <w:p>
      <w:pPr>
        <w:pStyle w:val="63"/>
        <w:numPr>
          <w:ilvl w:val="0"/>
          <w:numId w:val="60"/>
        </w:numPr>
        <w:spacing w:line="360" w:lineRule="auto"/>
        <w:rPr>
          <w:color w:val="auto"/>
          <w:highlight w:val="none"/>
        </w:rPr>
      </w:pPr>
      <w:r>
        <w:rPr>
          <w:rFonts w:hint="eastAsia" w:ascii="宋体" w:hAnsi="宋体" w:cs="宋体"/>
          <w:color w:val="auto"/>
          <w:kern w:val="1"/>
          <w:szCs w:val="21"/>
          <w:highlight w:val="none"/>
        </w:rPr>
        <w:t>用户需求书的条款明确要求提供证明资料的，不按要求提供或提供无法证明的，作未响应或不满足处理。</w:t>
      </w:r>
    </w:p>
    <w:p>
      <w:pPr>
        <w:pStyle w:val="63"/>
        <w:numPr>
          <w:ilvl w:val="0"/>
          <w:numId w:val="60"/>
        </w:numPr>
        <w:spacing w:line="360" w:lineRule="auto"/>
        <w:rPr>
          <w:color w:val="auto"/>
          <w:highlight w:val="none"/>
        </w:rPr>
      </w:pPr>
      <w:r>
        <w:rPr>
          <w:rFonts w:hint="eastAsia"/>
          <w:color w:val="auto"/>
          <w:highlight w:val="none"/>
        </w:rPr>
        <w:t>如本表为空，则</w:t>
      </w:r>
      <w:r>
        <w:rPr>
          <w:rFonts w:hint="eastAsia" w:ascii="宋体" w:hAnsi="宋体" w:cs="宋体"/>
          <w:color w:val="auto"/>
          <w:highlight w:val="none"/>
        </w:rPr>
        <w:t>投标人</w:t>
      </w:r>
      <w:r>
        <w:rPr>
          <w:rFonts w:hint="eastAsia"/>
          <w:color w:val="auto"/>
          <w:highlight w:val="none"/>
        </w:rPr>
        <w:t>对“第三章用户需求书”所有内容均无偏离。</w:t>
      </w:r>
    </w:p>
    <w:p>
      <w:pPr>
        <w:spacing w:line="500" w:lineRule="exact"/>
        <w:ind w:firstLine="436" w:firstLineChars="200"/>
        <w:rPr>
          <w:rFonts w:ascii="宋体" w:hAnsi="宋体" w:cs="宋体"/>
          <w:color w:val="auto"/>
          <w:spacing w:val="4"/>
          <w:highlight w:val="none"/>
        </w:rPr>
      </w:pPr>
    </w:p>
    <w:p>
      <w:pPr>
        <w:spacing w:line="500" w:lineRule="exact"/>
        <w:rPr>
          <w:rFonts w:ascii="宋体" w:hAnsi="宋体" w:cs="宋体"/>
          <w:color w:val="auto"/>
          <w:highlight w:val="none"/>
          <w:u w:val="single"/>
        </w:rPr>
      </w:pPr>
      <w:r>
        <w:rPr>
          <w:rFonts w:hint="eastAsia" w:ascii="宋体" w:hAnsi="宋体" w:cs="宋体"/>
          <w:color w:val="auto"/>
          <w:spacing w:val="4"/>
          <w:highlight w:val="none"/>
        </w:rPr>
        <w:t>投标人名称（</w:t>
      </w:r>
      <w:r>
        <w:rPr>
          <w:rFonts w:hint="eastAsia" w:ascii="宋体" w:hAnsi="宋体" w:cs="宋体"/>
          <w:color w:val="auto"/>
          <w:highlight w:val="none"/>
        </w:rPr>
        <w:t>单位盖</w:t>
      </w:r>
      <w:r>
        <w:rPr>
          <w:rFonts w:hint="eastAsia" w:ascii="宋体" w:hAnsi="宋体" w:cs="宋体"/>
          <w:color w:val="auto"/>
          <w:spacing w:val="4"/>
          <w:highlight w:val="none"/>
        </w:rPr>
        <w:t>公章）：</w:t>
      </w:r>
    </w:p>
    <w:p>
      <w:pPr>
        <w:spacing w:line="52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bCs/>
          <w:color w:val="auto"/>
          <w:szCs w:val="21"/>
          <w:highlight w:val="none"/>
          <w:u w:val="single"/>
        </w:rPr>
        <w:t xml:space="preserve">                               </w:t>
      </w:r>
    </w:p>
    <w:p>
      <w:pPr>
        <w:spacing w:line="440" w:lineRule="exact"/>
        <w:rPr>
          <w:rFonts w:ascii="宋体" w:hAnsi="宋体" w:cs="宋体"/>
          <w:bCs/>
          <w:color w:val="auto"/>
          <w:sz w:val="28"/>
          <w:highlight w:val="none"/>
        </w:rPr>
      </w:pPr>
      <w:r>
        <w:rPr>
          <w:rFonts w:hint="eastAsia" w:ascii="宋体" w:hAnsi="宋体" w:cs="宋体"/>
          <w:b/>
          <w:bCs/>
          <w:color w:val="auto"/>
          <w:highlight w:val="none"/>
        </w:rPr>
        <w:br w:type="page"/>
      </w:r>
    </w:p>
    <w:p>
      <w:pPr>
        <w:pStyle w:val="4"/>
        <w:adjustRightInd w:val="0"/>
        <w:snapToGrid w:val="0"/>
        <w:spacing w:beforeLines="50" w:afterLines="50" w:line="360" w:lineRule="auto"/>
        <w:jc w:val="center"/>
        <w:rPr>
          <w:rFonts w:ascii="宋体" w:hAnsi="宋体" w:eastAsia="宋体" w:cs="宋体"/>
          <w:bCs w:val="0"/>
          <w:color w:val="auto"/>
          <w:highlight w:val="none"/>
        </w:rPr>
      </w:pPr>
      <w:bookmarkStart w:id="238" w:name="_Toc31483"/>
      <w:bookmarkStart w:id="239" w:name="_Toc15594"/>
      <w:bookmarkStart w:id="240" w:name="_Toc32312"/>
      <w:bookmarkStart w:id="241" w:name="_Toc52165085"/>
      <w:bookmarkStart w:id="242" w:name="_Toc50736481"/>
      <w:bookmarkStart w:id="243" w:name="_Toc50691044"/>
      <w:bookmarkStart w:id="244" w:name="_Toc520812015"/>
      <w:bookmarkStart w:id="245" w:name="_Toc435515310"/>
      <w:bookmarkStart w:id="246" w:name="_Toc435514870"/>
      <w:bookmarkStart w:id="247" w:name="_Toc50737333"/>
      <w:bookmarkStart w:id="248" w:name="_Toc50737301"/>
      <w:bookmarkStart w:id="249" w:name="_Toc275865617"/>
      <w:bookmarkStart w:id="250" w:name="_Toc50703730"/>
      <w:bookmarkStart w:id="251" w:name="_Toc50691037"/>
      <w:bookmarkStart w:id="252" w:name="_Hlk508701196"/>
      <w:bookmarkStart w:id="253" w:name="_Toc43264518"/>
      <w:r>
        <w:rPr>
          <w:rFonts w:hint="eastAsia" w:ascii="宋体" w:hAnsi="宋体" w:eastAsia="宋体" w:cs="宋体"/>
          <w:bCs w:val="0"/>
          <w:color w:val="auto"/>
          <w:highlight w:val="none"/>
        </w:rPr>
        <w:t>合同条款响应一览表</w:t>
      </w:r>
      <w:bookmarkEnd w:id="238"/>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541"/>
        <w:gridCol w:w="2728"/>
        <w:gridCol w:w="2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47" w:type="pct"/>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6" w:type="pct"/>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cs="宋体"/>
                <w:b/>
                <w:bCs/>
                <w:color w:val="auto"/>
                <w:szCs w:val="21"/>
                <w:highlight w:val="none"/>
              </w:rPr>
            </w:pPr>
            <w:r>
              <w:rPr>
                <w:rFonts w:hint="eastAsia" w:ascii="宋体" w:hAnsi="宋体" w:cs="宋体"/>
                <w:b/>
                <w:bCs/>
                <w:color w:val="auto"/>
                <w:szCs w:val="21"/>
                <w:highlight w:val="none"/>
              </w:rPr>
              <w:t>合同条款描述</w:t>
            </w:r>
          </w:p>
        </w:tc>
        <w:tc>
          <w:tcPr>
            <w:tcW w:w="1476" w:type="pct"/>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cs="宋体"/>
                <w:b/>
                <w:bCs/>
                <w:color w:val="auto"/>
                <w:szCs w:val="21"/>
                <w:highlight w:val="none"/>
              </w:rPr>
            </w:pPr>
            <w:r>
              <w:rPr>
                <w:rFonts w:hint="eastAsia" w:ascii="宋体" w:hAnsi="宋体" w:cs="宋体"/>
                <w:b/>
                <w:bCs/>
                <w:color w:val="auto"/>
                <w:szCs w:val="21"/>
                <w:highlight w:val="none"/>
              </w:rPr>
              <w:t>投标响应</w:t>
            </w:r>
          </w:p>
          <w:p>
            <w:pPr>
              <w:snapToGrid w:val="0"/>
              <w:ind w:left="-71" w:leftChars="-34" w:right="-73" w:rightChars="-35"/>
              <w:jc w:val="center"/>
              <w:rPr>
                <w:rFonts w:ascii="宋体" w:hAnsi="宋体" w:cs="宋体"/>
                <w:b/>
                <w:bCs/>
                <w:color w:val="auto"/>
                <w:szCs w:val="21"/>
                <w:highlight w:val="none"/>
              </w:rPr>
            </w:pPr>
            <w:r>
              <w:rPr>
                <w:rFonts w:hint="eastAsia" w:ascii="宋体" w:hAnsi="宋体" w:cs="宋体"/>
                <w:b/>
                <w:bCs/>
                <w:color w:val="auto"/>
                <w:szCs w:val="21"/>
                <w:highlight w:val="none"/>
              </w:rPr>
              <w:t>(正偏离、完全响应、负偏离)</w:t>
            </w:r>
          </w:p>
        </w:tc>
        <w:tc>
          <w:tcPr>
            <w:tcW w:w="1260" w:type="pct"/>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cs="宋体"/>
                <w:b/>
                <w:bCs/>
                <w:color w:val="auto"/>
                <w:szCs w:val="21"/>
                <w:highlight w:val="none"/>
              </w:rPr>
            </w:pPr>
            <w:r>
              <w:rPr>
                <w:rFonts w:hint="eastAsia" w:ascii="宋体" w:hAnsi="宋体" w:cs="宋体"/>
                <w:b/>
                <w:bCs/>
                <w:color w:val="auto"/>
                <w:szCs w:val="21"/>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47" w:type="pct"/>
            <w:vAlign w:val="center"/>
          </w:tcPr>
          <w:p>
            <w:pPr>
              <w:numPr>
                <w:ilvl w:val="0"/>
                <w:numId w:val="61"/>
              </w:numPr>
              <w:jc w:val="center"/>
              <w:rPr>
                <w:rFonts w:ascii="宋体" w:hAnsi="宋体" w:cs="宋体"/>
                <w:color w:val="auto"/>
                <w:szCs w:val="21"/>
                <w:highlight w:val="none"/>
              </w:rPr>
            </w:pP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47" w:type="pct"/>
            <w:vAlign w:val="center"/>
          </w:tcPr>
          <w:p>
            <w:pPr>
              <w:numPr>
                <w:ilvl w:val="0"/>
                <w:numId w:val="0"/>
              </w:numPr>
              <w:jc w:val="center"/>
              <w:rPr>
                <w:rFonts w:ascii="宋体" w:hAnsi="宋体" w:cs="宋体"/>
                <w:color w:val="auto"/>
                <w:szCs w:val="21"/>
                <w:highlight w:val="none"/>
              </w:rPr>
            </w:pPr>
            <w:r>
              <w:rPr>
                <w:rFonts w:hint="eastAsia" w:ascii="宋体" w:hAnsi="宋体" w:cs="宋体"/>
                <w:color w:val="auto"/>
                <w:szCs w:val="21"/>
                <w:highlight w:val="none"/>
              </w:rPr>
              <w:t>…</w:t>
            </w:r>
          </w:p>
        </w:tc>
        <w:tc>
          <w:tcPr>
            <w:tcW w:w="1916" w:type="pct"/>
            <w:vAlign w:val="center"/>
          </w:tcPr>
          <w:p>
            <w:pPr>
              <w:spacing w:line="400" w:lineRule="exact"/>
              <w:jc w:val="center"/>
              <w:rPr>
                <w:rFonts w:ascii="宋体" w:hAnsi="宋体" w:cs="宋体"/>
                <w:color w:val="auto"/>
                <w:szCs w:val="21"/>
                <w:highlight w:val="none"/>
              </w:rPr>
            </w:pPr>
          </w:p>
        </w:tc>
        <w:tc>
          <w:tcPr>
            <w:tcW w:w="1476" w:type="pct"/>
            <w:vAlign w:val="center"/>
          </w:tcPr>
          <w:p>
            <w:pPr>
              <w:spacing w:line="400" w:lineRule="exact"/>
              <w:jc w:val="center"/>
              <w:rPr>
                <w:rFonts w:ascii="宋体" w:hAnsi="宋体" w:cs="宋体"/>
                <w:color w:val="auto"/>
                <w:szCs w:val="21"/>
                <w:highlight w:val="none"/>
              </w:rPr>
            </w:pPr>
          </w:p>
        </w:tc>
        <w:tc>
          <w:tcPr>
            <w:tcW w:w="1260" w:type="pct"/>
            <w:vAlign w:val="center"/>
          </w:tcPr>
          <w:p>
            <w:pPr>
              <w:spacing w:line="400" w:lineRule="exact"/>
              <w:jc w:val="center"/>
              <w:rPr>
                <w:rFonts w:ascii="宋体" w:hAnsi="宋体" w:cs="宋体"/>
                <w:color w:val="auto"/>
                <w:szCs w:val="21"/>
                <w:highlight w:val="none"/>
              </w:rPr>
            </w:pPr>
          </w:p>
        </w:tc>
      </w:tr>
    </w:tbl>
    <w:p>
      <w:pPr>
        <w:pStyle w:val="81"/>
        <w:adjustRightInd w:val="0"/>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说明：</w:t>
      </w:r>
    </w:p>
    <w:p>
      <w:pPr>
        <w:pStyle w:val="81"/>
        <w:numPr>
          <w:ilvl w:val="0"/>
          <w:numId w:val="62"/>
        </w:numPr>
        <w:adjustRightInd w:val="0"/>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投标人应根据招标文件《合同文本》所有内容做出全面响应。</w:t>
      </w:r>
    </w:p>
    <w:p>
      <w:pPr>
        <w:pStyle w:val="81"/>
        <w:numPr>
          <w:ilvl w:val="0"/>
          <w:numId w:val="62"/>
        </w:numPr>
        <w:adjustRightInd w:val="0"/>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投标人按实际响应情况在上表“投标响应”列中明确其响应为</w:t>
      </w:r>
      <w:r>
        <w:rPr>
          <w:rFonts w:hint="eastAsia" w:ascii="宋体" w:hAnsi="宋体" w:cs="宋体"/>
          <w:bCs/>
          <w:color w:val="auto"/>
          <w:szCs w:val="21"/>
          <w:highlight w:val="none"/>
        </w:rPr>
        <w:t>正偏离/完全响应/负偏离，如有正/负</w:t>
      </w:r>
      <w:r>
        <w:rPr>
          <w:rFonts w:hint="eastAsia" w:ascii="宋体" w:hAnsi="宋体" w:cs="宋体"/>
          <w:color w:val="auto"/>
          <w:szCs w:val="21"/>
          <w:highlight w:val="none"/>
        </w:rPr>
        <w:t>偏离的条目，</w:t>
      </w:r>
      <w:r>
        <w:rPr>
          <w:rFonts w:hint="eastAsia" w:ascii="宋体" w:hAnsi="宋体" w:cs="宋体"/>
          <w:color w:val="auto"/>
          <w:highlight w:val="none"/>
          <w:lang w:val="en-GB"/>
        </w:rPr>
        <w:t>请在“偏离说明”</w:t>
      </w:r>
      <w:r>
        <w:rPr>
          <w:rFonts w:hint="eastAsia" w:ascii="宋体" w:hAnsi="宋体" w:cs="宋体"/>
          <w:color w:val="auto"/>
          <w:szCs w:val="21"/>
          <w:highlight w:val="none"/>
        </w:rPr>
        <w:t>列中</w:t>
      </w:r>
      <w:r>
        <w:rPr>
          <w:rFonts w:hint="eastAsia" w:ascii="宋体" w:hAnsi="宋体" w:cs="宋体"/>
          <w:color w:val="auto"/>
          <w:highlight w:val="none"/>
          <w:lang w:val="en-GB"/>
        </w:rPr>
        <w:t>说明偏离情况。</w:t>
      </w:r>
    </w:p>
    <w:p>
      <w:pPr>
        <w:pStyle w:val="81"/>
        <w:numPr>
          <w:ilvl w:val="0"/>
          <w:numId w:val="62"/>
        </w:numPr>
        <w:adjustRightInd w:val="0"/>
        <w:snapToGrid w:val="0"/>
        <w:spacing w:line="460" w:lineRule="exact"/>
        <w:rPr>
          <w:rFonts w:ascii="宋体" w:hAnsi="宋体" w:cs="宋体"/>
          <w:color w:val="auto"/>
          <w:szCs w:val="21"/>
          <w:highlight w:val="none"/>
        </w:rPr>
      </w:pPr>
      <w:r>
        <w:rPr>
          <w:rFonts w:hint="eastAsia" w:ascii="宋体" w:hAnsi="宋体" w:cs="宋体"/>
          <w:color w:val="auto"/>
          <w:highlight w:val="none"/>
        </w:rPr>
        <w:t>如本表为空，则投标人对</w:t>
      </w:r>
      <w:r>
        <w:rPr>
          <w:rFonts w:hint="eastAsia" w:ascii="宋体" w:hAnsi="宋体" w:cs="宋体"/>
          <w:color w:val="auto"/>
          <w:szCs w:val="21"/>
          <w:highlight w:val="none"/>
        </w:rPr>
        <w:t>招标文件《合同文本》所有内容均无偏离。</w:t>
      </w:r>
    </w:p>
    <w:p>
      <w:pPr>
        <w:spacing w:line="500" w:lineRule="exact"/>
        <w:rPr>
          <w:rFonts w:ascii="宋体" w:hAnsi="宋体" w:cs="宋体"/>
          <w:color w:val="auto"/>
          <w:spacing w:val="4"/>
          <w:highlight w:val="none"/>
        </w:rPr>
      </w:pPr>
    </w:p>
    <w:p>
      <w:pPr>
        <w:spacing w:line="500" w:lineRule="exact"/>
        <w:rPr>
          <w:rFonts w:ascii="宋体" w:hAnsi="宋体" w:cs="宋体"/>
          <w:color w:val="auto"/>
          <w:highlight w:val="none"/>
          <w:u w:val="single"/>
        </w:rPr>
      </w:pPr>
      <w:r>
        <w:rPr>
          <w:rFonts w:hint="eastAsia" w:ascii="宋体" w:hAnsi="宋体" w:cs="宋体"/>
          <w:color w:val="auto"/>
          <w:spacing w:val="4"/>
          <w:highlight w:val="none"/>
        </w:rPr>
        <w:t>投标人名称（</w:t>
      </w:r>
      <w:r>
        <w:rPr>
          <w:rFonts w:hint="eastAsia" w:ascii="宋体" w:hAnsi="宋体" w:cs="宋体"/>
          <w:color w:val="auto"/>
          <w:highlight w:val="none"/>
        </w:rPr>
        <w:t>单位盖</w:t>
      </w:r>
      <w:r>
        <w:rPr>
          <w:rFonts w:hint="eastAsia" w:ascii="宋体" w:hAnsi="宋体" w:cs="宋体"/>
          <w:color w:val="auto"/>
          <w:spacing w:val="4"/>
          <w:highlight w:val="none"/>
        </w:rPr>
        <w:t>公章）：</w:t>
      </w:r>
    </w:p>
    <w:p>
      <w:pPr>
        <w:spacing w:line="520" w:lineRule="exact"/>
        <w:rPr>
          <w:rFonts w:ascii="宋体" w:hAnsi="宋体" w:cs="宋体"/>
          <w:bCs/>
          <w:color w:val="auto"/>
          <w:szCs w:val="21"/>
          <w:highlight w:val="none"/>
          <w:u w:val="single"/>
        </w:rPr>
      </w:pPr>
      <w:r>
        <w:rPr>
          <w:rFonts w:hint="eastAsia" w:ascii="宋体" w:hAnsi="宋体" w:cs="宋体"/>
          <w:color w:val="auto"/>
          <w:highlight w:val="none"/>
        </w:rPr>
        <w:t>日期：</w:t>
      </w:r>
      <w:r>
        <w:rPr>
          <w:rFonts w:hint="eastAsia" w:ascii="宋体" w:hAnsi="宋体" w:cs="宋体"/>
          <w:bCs/>
          <w:color w:val="auto"/>
          <w:szCs w:val="21"/>
          <w:highlight w:val="none"/>
          <w:u w:val="single"/>
        </w:rPr>
        <w:t xml:space="preserve">                               </w:t>
      </w:r>
    </w:p>
    <w:p>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ascii="宋体" w:hAnsi="宋体" w:eastAsia="宋体" w:cs="宋体"/>
          <w:b w:val="0"/>
          <w:color w:val="auto"/>
          <w:highlight w:val="none"/>
        </w:rPr>
      </w:pPr>
      <w:r>
        <w:rPr>
          <w:rFonts w:hint="eastAsia" w:ascii="宋体" w:hAnsi="宋体" w:eastAsia="宋体" w:cs="宋体"/>
          <w:bCs w:val="0"/>
          <w:color w:val="auto"/>
          <w:szCs w:val="21"/>
          <w:highlight w:val="none"/>
          <w:u w:val="single"/>
        </w:rPr>
        <w:br w:type="page"/>
      </w:r>
      <w:bookmarkStart w:id="254" w:name="_Toc15882"/>
      <w:r>
        <w:rPr>
          <w:rFonts w:hint="eastAsia" w:ascii="宋体" w:hAnsi="宋体" w:eastAsia="宋体" w:cs="宋体"/>
          <w:color w:val="auto"/>
          <w:highlight w:val="none"/>
        </w:rPr>
        <w:t>业绩一览表</w:t>
      </w:r>
      <w:bookmarkEnd w:id="239"/>
      <w:bookmarkEnd w:id="240"/>
      <w:bookmarkEnd w:id="241"/>
      <w:bookmarkEnd w:id="242"/>
      <w:bookmarkEnd w:id="243"/>
      <w:bookmarkEnd w:id="244"/>
      <w:bookmarkEnd w:id="245"/>
      <w:bookmarkEnd w:id="246"/>
      <w:bookmarkEnd w:id="247"/>
      <w:bookmarkEnd w:id="248"/>
      <w:bookmarkEnd w:id="249"/>
      <w:bookmarkEnd w:id="254"/>
    </w:p>
    <w:tbl>
      <w:tblPr>
        <w:tblStyle w:val="40"/>
        <w:tblW w:w="53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46"/>
        <w:gridCol w:w="1940"/>
        <w:gridCol w:w="1028"/>
        <w:gridCol w:w="1555"/>
        <w:gridCol w:w="1757"/>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22" w:type="pct"/>
            <w:tcBorders>
              <w:top w:val="single" w:color="auto" w:sz="12" w:space="0"/>
            </w:tcBorders>
            <w:shd w:val="clear" w:color="auto" w:fill="EEECE1"/>
            <w:vAlign w:val="center"/>
          </w:tcPr>
          <w:p>
            <w:pPr>
              <w:adjustRightInd w:val="0"/>
              <w:snapToGrid w:val="0"/>
              <w:ind w:left="-84" w:leftChars="-40" w:right="-107" w:rightChars="-51"/>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83" w:type="pct"/>
            <w:tcBorders>
              <w:top w:val="single" w:color="auto" w:sz="12" w:space="0"/>
            </w:tcBorders>
            <w:shd w:val="clear" w:color="auto" w:fill="EEECE1"/>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合同</w:t>
            </w:r>
            <w:r>
              <w:rPr>
                <w:rFonts w:hint="eastAsia" w:ascii="宋体" w:hAnsi="宋体" w:cs="宋体"/>
                <w:b/>
                <w:bCs/>
                <w:color w:val="auto"/>
                <w:szCs w:val="21"/>
                <w:highlight w:val="none"/>
              </w:rPr>
              <w:t>名称</w:t>
            </w:r>
          </w:p>
        </w:tc>
        <w:tc>
          <w:tcPr>
            <w:tcW w:w="987" w:type="pct"/>
            <w:tcBorders>
              <w:top w:val="single" w:color="auto" w:sz="12" w:space="0"/>
            </w:tcBorders>
            <w:shd w:val="clear" w:color="auto" w:fill="EEECE1"/>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合同</w:t>
            </w:r>
            <w:r>
              <w:rPr>
                <w:rFonts w:hint="eastAsia" w:ascii="宋体" w:hAnsi="宋体" w:cs="宋体"/>
                <w:b/>
                <w:bCs/>
                <w:color w:val="auto"/>
                <w:szCs w:val="21"/>
                <w:highlight w:val="none"/>
              </w:rPr>
              <w:t>内容</w:t>
            </w:r>
          </w:p>
        </w:tc>
        <w:tc>
          <w:tcPr>
            <w:tcW w:w="523" w:type="pct"/>
            <w:tcBorders>
              <w:top w:val="single" w:color="auto" w:sz="12" w:space="0"/>
            </w:tcBorders>
            <w:shd w:val="clear" w:color="auto" w:fill="EEECE1"/>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合同价</w:t>
            </w:r>
          </w:p>
        </w:tc>
        <w:tc>
          <w:tcPr>
            <w:tcW w:w="791" w:type="pct"/>
            <w:tcBorders>
              <w:top w:val="single" w:color="auto" w:sz="12" w:space="0"/>
            </w:tcBorders>
            <w:shd w:val="clear" w:color="auto" w:fill="EEECE1"/>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签约及完成时间</w:t>
            </w:r>
          </w:p>
        </w:tc>
        <w:tc>
          <w:tcPr>
            <w:tcW w:w="894" w:type="pct"/>
            <w:tcBorders>
              <w:top w:val="single" w:color="auto" w:sz="12" w:space="0"/>
            </w:tcBorders>
            <w:shd w:val="clear" w:color="auto" w:fill="EEECE1"/>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合同委托方</w:t>
            </w:r>
            <w:r>
              <w:rPr>
                <w:rFonts w:hint="eastAsia" w:ascii="宋体" w:hAnsi="宋体" w:cs="宋体"/>
                <w:b/>
                <w:bCs/>
                <w:color w:val="auto"/>
                <w:szCs w:val="21"/>
                <w:highlight w:val="none"/>
              </w:rPr>
              <w:t>联系人及电话</w:t>
            </w:r>
          </w:p>
        </w:tc>
        <w:tc>
          <w:tcPr>
            <w:tcW w:w="895" w:type="pct"/>
            <w:tcBorders>
              <w:top w:val="single" w:color="auto" w:sz="12" w:space="0"/>
            </w:tcBorders>
            <w:shd w:val="clear" w:color="auto" w:fill="EEECE1"/>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2" w:type="pct"/>
            <w:vAlign w:val="center"/>
          </w:tcPr>
          <w:p>
            <w:pPr>
              <w:spacing w:line="400" w:lineRule="exact"/>
              <w:jc w:val="center"/>
              <w:rPr>
                <w:rFonts w:ascii="宋体" w:hAnsi="宋体" w:cs="宋体"/>
                <w:color w:val="auto"/>
                <w:szCs w:val="21"/>
                <w:highlight w:val="none"/>
              </w:rPr>
            </w:pPr>
          </w:p>
        </w:tc>
        <w:tc>
          <w:tcPr>
            <w:tcW w:w="583" w:type="pct"/>
            <w:vAlign w:val="center"/>
          </w:tcPr>
          <w:p>
            <w:pPr>
              <w:spacing w:line="400" w:lineRule="exact"/>
              <w:jc w:val="center"/>
              <w:rPr>
                <w:rFonts w:ascii="宋体" w:hAnsi="宋体" w:cs="宋体"/>
                <w:color w:val="auto"/>
                <w:szCs w:val="21"/>
                <w:highlight w:val="none"/>
              </w:rPr>
            </w:pPr>
          </w:p>
        </w:tc>
        <w:tc>
          <w:tcPr>
            <w:tcW w:w="987" w:type="pct"/>
            <w:vAlign w:val="center"/>
          </w:tcPr>
          <w:p>
            <w:pPr>
              <w:spacing w:line="400" w:lineRule="exact"/>
              <w:jc w:val="center"/>
              <w:rPr>
                <w:rFonts w:ascii="宋体" w:hAnsi="宋体" w:cs="宋体"/>
                <w:color w:val="auto"/>
                <w:szCs w:val="21"/>
                <w:highlight w:val="none"/>
              </w:rPr>
            </w:pPr>
          </w:p>
        </w:tc>
        <w:tc>
          <w:tcPr>
            <w:tcW w:w="523" w:type="pct"/>
            <w:vAlign w:val="center"/>
          </w:tcPr>
          <w:p>
            <w:pPr>
              <w:spacing w:line="400" w:lineRule="exact"/>
              <w:jc w:val="center"/>
              <w:rPr>
                <w:rFonts w:ascii="宋体" w:hAnsi="宋体" w:cs="宋体"/>
                <w:color w:val="auto"/>
                <w:szCs w:val="21"/>
                <w:highlight w:val="none"/>
              </w:rPr>
            </w:pPr>
          </w:p>
        </w:tc>
        <w:tc>
          <w:tcPr>
            <w:tcW w:w="791" w:type="pct"/>
            <w:vAlign w:val="center"/>
          </w:tcPr>
          <w:p>
            <w:pPr>
              <w:spacing w:line="400" w:lineRule="exact"/>
              <w:jc w:val="center"/>
              <w:rPr>
                <w:rFonts w:ascii="宋体" w:hAnsi="宋体" w:cs="宋体"/>
                <w:color w:val="auto"/>
                <w:szCs w:val="21"/>
                <w:highlight w:val="none"/>
              </w:rPr>
            </w:pPr>
          </w:p>
        </w:tc>
        <w:tc>
          <w:tcPr>
            <w:tcW w:w="894" w:type="pct"/>
            <w:vAlign w:val="center"/>
          </w:tcPr>
          <w:p>
            <w:pPr>
              <w:spacing w:line="400" w:lineRule="exact"/>
              <w:jc w:val="center"/>
              <w:rPr>
                <w:rFonts w:ascii="宋体" w:hAnsi="宋体" w:cs="宋体"/>
                <w:color w:val="auto"/>
                <w:szCs w:val="21"/>
                <w:highlight w:val="none"/>
              </w:rPr>
            </w:pPr>
          </w:p>
        </w:tc>
        <w:tc>
          <w:tcPr>
            <w:tcW w:w="895" w:type="pc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2" w:type="pct"/>
            <w:vAlign w:val="center"/>
          </w:tcPr>
          <w:p>
            <w:pPr>
              <w:spacing w:line="400" w:lineRule="exact"/>
              <w:jc w:val="center"/>
              <w:rPr>
                <w:rFonts w:ascii="宋体" w:hAnsi="宋体" w:cs="宋体"/>
                <w:color w:val="auto"/>
                <w:szCs w:val="21"/>
                <w:highlight w:val="none"/>
              </w:rPr>
            </w:pPr>
          </w:p>
        </w:tc>
        <w:tc>
          <w:tcPr>
            <w:tcW w:w="583" w:type="pct"/>
            <w:vAlign w:val="center"/>
          </w:tcPr>
          <w:p>
            <w:pPr>
              <w:spacing w:line="400" w:lineRule="exact"/>
              <w:jc w:val="center"/>
              <w:rPr>
                <w:rFonts w:ascii="宋体" w:hAnsi="宋体" w:cs="宋体"/>
                <w:color w:val="auto"/>
                <w:szCs w:val="21"/>
                <w:highlight w:val="none"/>
              </w:rPr>
            </w:pPr>
          </w:p>
        </w:tc>
        <w:tc>
          <w:tcPr>
            <w:tcW w:w="987" w:type="pct"/>
            <w:vAlign w:val="center"/>
          </w:tcPr>
          <w:p>
            <w:pPr>
              <w:spacing w:line="400" w:lineRule="exact"/>
              <w:jc w:val="center"/>
              <w:rPr>
                <w:rFonts w:ascii="宋体" w:hAnsi="宋体" w:cs="宋体"/>
                <w:color w:val="auto"/>
                <w:szCs w:val="21"/>
                <w:highlight w:val="none"/>
              </w:rPr>
            </w:pPr>
          </w:p>
        </w:tc>
        <w:tc>
          <w:tcPr>
            <w:tcW w:w="523" w:type="pct"/>
            <w:vAlign w:val="center"/>
          </w:tcPr>
          <w:p>
            <w:pPr>
              <w:spacing w:line="400" w:lineRule="exact"/>
              <w:jc w:val="center"/>
              <w:rPr>
                <w:rFonts w:ascii="宋体" w:hAnsi="宋体" w:cs="宋体"/>
                <w:color w:val="auto"/>
                <w:szCs w:val="21"/>
                <w:highlight w:val="none"/>
              </w:rPr>
            </w:pPr>
          </w:p>
        </w:tc>
        <w:tc>
          <w:tcPr>
            <w:tcW w:w="791" w:type="pct"/>
            <w:vAlign w:val="center"/>
          </w:tcPr>
          <w:p>
            <w:pPr>
              <w:spacing w:line="400" w:lineRule="exact"/>
              <w:jc w:val="center"/>
              <w:rPr>
                <w:rFonts w:ascii="宋体" w:hAnsi="宋体" w:cs="宋体"/>
                <w:color w:val="auto"/>
                <w:szCs w:val="21"/>
                <w:highlight w:val="none"/>
              </w:rPr>
            </w:pPr>
          </w:p>
        </w:tc>
        <w:tc>
          <w:tcPr>
            <w:tcW w:w="894" w:type="pct"/>
            <w:vAlign w:val="center"/>
          </w:tcPr>
          <w:p>
            <w:pPr>
              <w:spacing w:line="400" w:lineRule="exact"/>
              <w:jc w:val="center"/>
              <w:rPr>
                <w:rFonts w:ascii="宋体" w:hAnsi="宋体" w:cs="宋体"/>
                <w:color w:val="auto"/>
                <w:szCs w:val="21"/>
                <w:highlight w:val="none"/>
              </w:rPr>
            </w:pPr>
          </w:p>
        </w:tc>
        <w:tc>
          <w:tcPr>
            <w:tcW w:w="895" w:type="pc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2" w:type="pct"/>
            <w:vAlign w:val="center"/>
          </w:tcPr>
          <w:p>
            <w:pPr>
              <w:spacing w:line="400" w:lineRule="exact"/>
              <w:jc w:val="center"/>
              <w:rPr>
                <w:rFonts w:ascii="宋体" w:hAnsi="宋体" w:cs="宋体"/>
                <w:color w:val="auto"/>
                <w:szCs w:val="21"/>
                <w:highlight w:val="none"/>
              </w:rPr>
            </w:pPr>
          </w:p>
        </w:tc>
        <w:tc>
          <w:tcPr>
            <w:tcW w:w="583" w:type="pct"/>
            <w:vAlign w:val="center"/>
          </w:tcPr>
          <w:p>
            <w:pPr>
              <w:spacing w:line="400" w:lineRule="exact"/>
              <w:jc w:val="center"/>
              <w:rPr>
                <w:rFonts w:ascii="宋体" w:hAnsi="宋体" w:cs="宋体"/>
                <w:color w:val="auto"/>
                <w:szCs w:val="21"/>
                <w:highlight w:val="none"/>
              </w:rPr>
            </w:pPr>
          </w:p>
        </w:tc>
        <w:tc>
          <w:tcPr>
            <w:tcW w:w="987" w:type="pct"/>
            <w:vAlign w:val="center"/>
          </w:tcPr>
          <w:p>
            <w:pPr>
              <w:spacing w:line="400" w:lineRule="exact"/>
              <w:jc w:val="center"/>
              <w:rPr>
                <w:rFonts w:ascii="宋体" w:hAnsi="宋体" w:cs="宋体"/>
                <w:color w:val="auto"/>
                <w:szCs w:val="21"/>
                <w:highlight w:val="none"/>
              </w:rPr>
            </w:pPr>
          </w:p>
        </w:tc>
        <w:tc>
          <w:tcPr>
            <w:tcW w:w="523" w:type="pct"/>
            <w:vAlign w:val="center"/>
          </w:tcPr>
          <w:p>
            <w:pPr>
              <w:spacing w:line="400" w:lineRule="exact"/>
              <w:jc w:val="center"/>
              <w:rPr>
                <w:rFonts w:ascii="宋体" w:hAnsi="宋体" w:cs="宋体"/>
                <w:color w:val="auto"/>
                <w:szCs w:val="21"/>
                <w:highlight w:val="none"/>
              </w:rPr>
            </w:pPr>
          </w:p>
        </w:tc>
        <w:tc>
          <w:tcPr>
            <w:tcW w:w="791" w:type="pct"/>
            <w:vAlign w:val="center"/>
          </w:tcPr>
          <w:p>
            <w:pPr>
              <w:spacing w:line="400" w:lineRule="exact"/>
              <w:jc w:val="center"/>
              <w:rPr>
                <w:rFonts w:ascii="宋体" w:hAnsi="宋体" w:cs="宋体"/>
                <w:color w:val="auto"/>
                <w:szCs w:val="21"/>
                <w:highlight w:val="none"/>
              </w:rPr>
            </w:pPr>
          </w:p>
        </w:tc>
        <w:tc>
          <w:tcPr>
            <w:tcW w:w="894" w:type="pct"/>
            <w:vAlign w:val="center"/>
          </w:tcPr>
          <w:p>
            <w:pPr>
              <w:spacing w:line="400" w:lineRule="exact"/>
              <w:jc w:val="center"/>
              <w:rPr>
                <w:rFonts w:ascii="宋体" w:hAnsi="宋体" w:cs="宋体"/>
                <w:color w:val="auto"/>
                <w:szCs w:val="21"/>
                <w:highlight w:val="none"/>
              </w:rPr>
            </w:pPr>
          </w:p>
        </w:tc>
        <w:tc>
          <w:tcPr>
            <w:tcW w:w="895" w:type="pc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2" w:type="pct"/>
            <w:vAlign w:val="center"/>
          </w:tcPr>
          <w:p>
            <w:pPr>
              <w:spacing w:line="400" w:lineRule="exact"/>
              <w:jc w:val="center"/>
              <w:rPr>
                <w:rFonts w:ascii="宋体" w:hAnsi="宋体" w:cs="宋体"/>
                <w:color w:val="auto"/>
                <w:szCs w:val="21"/>
                <w:highlight w:val="none"/>
              </w:rPr>
            </w:pPr>
          </w:p>
        </w:tc>
        <w:tc>
          <w:tcPr>
            <w:tcW w:w="583" w:type="pct"/>
            <w:vAlign w:val="center"/>
          </w:tcPr>
          <w:p>
            <w:pPr>
              <w:spacing w:line="400" w:lineRule="exact"/>
              <w:jc w:val="center"/>
              <w:rPr>
                <w:rFonts w:ascii="宋体" w:hAnsi="宋体" w:cs="宋体"/>
                <w:color w:val="auto"/>
                <w:szCs w:val="21"/>
                <w:highlight w:val="none"/>
              </w:rPr>
            </w:pPr>
          </w:p>
        </w:tc>
        <w:tc>
          <w:tcPr>
            <w:tcW w:w="987" w:type="pct"/>
            <w:vAlign w:val="center"/>
          </w:tcPr>
          <w:p>
            <w:pPr>
              <w:spacing w:line="400" w:lineRule="exact"/>
              <w:jc w:val="center"/>
              <w:rPr>
                <w:rFonts w:ascii="宋体" w:hAnsi="宋体" w:cs="宋体"/>
                <w:color w:val="auto"/>
                <w:szCs w:val="21"/>
                <w:highlight w:val="none"/>
              </w:rPr>
            </w:pPr>
          </w:p>
        </w:tc>
        <w:tc>
          <w:tcPr>
            <w:tcW w:w="523" w:type="pct"/>
            <w:vAlign w:val="center"/>
          </w:tcPr>
          <w:p>
            <w:pPr>
              <w:spacing w:line="400" w:lineRule="exact"/>
              <w:jc w:val="center"/>
              <w:rPr>
                <w:rFonts w:ascii="宋体" w:hAnsi="宋体" w:cs="宋体"/>
                <w:color w:val="auto"/>
                <w:szCs w:val="21"/>
                <w:highlight w:val="none"/>
              </w:rPr>
            </w:pPr>
          </w:p>
        </w:tc>
        <w:tc>
          <w:tcPr>
            <w:tcW w:w="791" w:type="pct"/>
            <w:vAlign w:val="center"/>
          </w:tcPr>
          <w:p>
            <w:pPr>
              <w:spacing w:line="400" w:lineRule="exact"/>
              <w:jc w:val="center"/>
              <w:rPr>
                <w:rFonts w:ascii="宋体" w:hAnsi="宋体" w:cs="宋体"/>
                <w:color w:val="auto"/>
                <w:szCs w:val="21"/>
                <w:highlight w:val="none"/>
              </w:rPr>
            </w:pPr>
          </w:p>
        </w:tc>
        <w:tc>
          <w:tcPr>
            <w:tcW w:w="894" w:type="pct"/>
            <w:vAlign w:val="center"/>
          </w:tcPr>
          <w:p>
            <w:pPr>
              <w:spacing w:line="400" w:lineRule="exact"/>
              <w:jc w:val="center"/>
              <w:rPr>
                <w:rFonts w:ascii="宋体" w:hAnsi="宋体" w:cs="宋体"/>
                <w:color w:val="auto"/>
                <w:szCs w:val="21"/>
                <w:highlight w:val="none"/>
              </w:rPr>
            </w:pPr>
          </w:p>
        </w:tc>
        <w:tc>
          <w:tcPr>
            <w:tcW w:w="895" w:type="pc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spacing w:line="440" w:lineRule="exact"/>
        <w:rPr>
          <w:rFonts w:ascii="宋体" w:hAnsi="宋体" w:cs="宋体"/>
          <w:color w:val="auto"/>
          <w:szCs w:val="21"/>
          <w:highlight w:val="none"/>
        </w:rPr>
      </w:pPr>
      <w:r>
        <w:rPr>
          <w:rFonts w:hint="eastAsia" w:ascii="宋体" w:hAnsi="宋体" w:cs="宋体"/>
          <w:bCs/>
          <w:color w:val="auto"/>
          <w:highlight w:val="none"/>
        </w:rPr>
        <w:t>备注：</w:t>
      </w:r>
      <w:r>
        <w:rPr>
          <w:rFonts w:hint="eastAsia" w:ascii="宋体" w:hAnsi="宋体" w:cs="宋体"/>
          <w:color w:val="auto"/>
          <w:szCs w:val="21"/>
          <w:highlight w:val="none"/>
        </w:rPr>
        <w:t>根据评分表的要求提交相应资料。</w:t>
      </w:r>
    </w:p>
    <w:p>
      <w:pPr>
        <w:adjustRightInd w:val="0"/>
        <w:snapToGrid w:val="0"/>
        <w:spacing w:line="360" w:lineRule="auto"/>
        <w:ind w:left="732" w:hanging="732" w:hangingChars="305"/>
        <w:rPr>
          <w:rFonts w:ascii="宋体" w:hAnsi="宋体" w:cs="宋体"/>
          <w:color w:val="auto"/>
          <w:sz w:val="24"/>
          <w:highlight w:val="none"/>
        </w:rPr>
      </w:pPr>
    </w:p>
    <w:p>
      <w:pPr>
        <w:spacing w:line="500" w:lineRule="exact"/>
        <w:rPr>
          <w:rFonts w:ascii="宋体" w:hAnsi="宋体" w:cs="宋体"/>
          <w:color w:val="auto"/>
          <w:highlight w:val="none"/>
          <w:u w:val="single"/>
        </w:rPr>
      </w:pPr>
      <w:r>
        <w:rPr>
          <w:rFonts w:hint="eastAsia" w:ascii="宋体" w:hAnsi="宋体" w:cs="宋体"/>
          <w:color w:val="auto"/>
          <w:spacing w:val="4"/>
          <w:highlight w:val="none"/>
        </w:rPr>
        <w:t>投标人名称（</w:t>
      </w:r>
      <w:r>
        <w:rPr>
          <w:rFonts w:hint="eastAsia" w:ascii="宋体" w:hAnsi="宋体" w:cs="宋体"/>
          <w:color w:val="auto"/>
          <w:highlight w:val="none"/>
        </w:rPr>
        <w:t>单位盖</w:t>
      </w:r>
      <w:r>
        <w:rPr>
          <w:rFonts w:hint="eastAsia" w:ascii="宋体" w:hAnsi="宋体" w:cs="宋体"/>
          <w:color w:val="auto"/>
          <w:spacing w:val="4"/>
          <w:highlight w:val="none"/>
        </w:rPr>
        <w:t>公章）：</w:t>
      </w:r>
    </w:p>
    <w:p>
      <w:pPr>
        <w:spacing w:line="52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bCs/>
          <w:color w:val="auto"/>
          <w:szCs w:val="21"/>
          <w:highlight w:val="none"/>
          <w:u w:val="single"/>
        </w:rPr>
        <w:t xml:space="preserve">                               </w:t>
      </w:r>
    </w:p>
    <w:p>
      <w:pPr>
        <w:spacing w:line="520" w:lineRule="exact"/>
        <w:rPr>
          <w:rFonts w:ascii="宋体" w:hAnsi="宋体" w:cs="宋体"/>
          <w:color w:val="auto"/>
          <w:highlight w:val="none"/>
        </w:rPr>
      </w:pPr>
    </w:p>
    <w:bookmarkEnd w:id="250"/>
    <w:bookmarkEnd w:id="251"/>
    <w:p>
      <w:pPr>
        <w:rPr>
          <w:rFonts w:ascii="宋体" w:hAnsi="宋体" w:cs="宋体"/>
          <w:b/>
          <w:color w:val="auto"/>
          <w:sz w:val="32"/>
          <w:szCs w:val="40"/>
          <w:highlight w:val="none"/>
        </w:rPr>
      </w:pPr>
      <w:bookmarkStart w:id="255" w:name="_Toc435514871"/>
      <w:bookmarkStart w:id="256" w:name="_Toc50737300"/>
      <w:bookmarkStart w:id="257" w:name="_Toc50691042"/>
      <w:bookmarkStart w:id="258" w:name="_Toc435515311"/>
      <w:bookmarkStart w:id="259" w:name="_Toc52165084"/>
      <w:bookmarkStart w:id="260" w:name="_Toc50736480"/>
      <w:bookmarkStart w:id="261" w:name="_Toc275865618"/>
      <w:bookmarkStart w:id="262" w:name="_Toc50737332"/>
      <w:r>
        <w:rPr>
          <w:rFonts w:hint="eastAsia" w:ascii="宋体" w:hAnsi="宋体" w:cs="宋体"/>
          <w:color w:val="auto"/>
          <w:highlight w:val="none"/>
        </w:rPr>
        <w:br w:type="page"/>
      </w:r>
      <w:bookmarkStart w:id="263" w:name="_Toc5240"/>
      <w:bookmarkStart w:id="264" w:name="_Toc520812016"/>
      <w:bookmarkStart w:id="265" w:name="_Toc7959"/>
    </w:p>
    <w:p>
      <w:pPr>
        <w:keepNext/>
        <w:keepLines/>
        <w:adjustRightInd w:val="0"/>
        <w:snapToGrid w:val="0"/>
        <w:spacing w:beforeLines="50" w:afterLines="50" w:line="360" w:lineRule="auto"/>
        <w:jc w:val="center"/>
        <w:outlineLvl w:val="1"/>
        <w:rPr>
          <w:rFonts w:ascii="宋体" w:hAnsi="宋体" w:cs="宋体"/>
          <w:b/>
          <w:color w:val="auto"/>
          <w:sz w:val="32"/>
          <w:szCs w:val="40"/>
          <w:highlight w:val="none"/>
        </w:rPr>
      </w:pPr>
      <w:bookmarkStart w:id="266" w:name="_Toc20956"/>
      <w:r>
        <w:rPr>
          <w:rFonts w:hint="eastAsia" w:ascii="宋体" w:hAnsi="宋体" w:cs="宋体"/>
          <w:b/>
          <w:color w:val="auto"/>
          <w:sz w:val="32"/>
          <w:szCs w:val="40"/>
          <w:highlight w:val="none"/>
        </w:rPr>
        <w:t>拟投入本项目的服务力量一览表</w:t>
      </w:r>
      <w:bookmarkEnd w:id="255"/>
      <w:bookmarkEnd w:id="256"/>
      <w:bookmarkEnd w:id="257"/>
      <w:bookmarkEnd w:id="258"/>
      <w:bookmarkEnd w:id="259"/>
      <w:bookmarkEnd w:id="260"/>
      <w:bookmarkEnd w:id="261"/>
      <w:bookmarkEnd w:id="262"/>
      <w:bookmarkEnd w:id="263"/>
      <w:bookmarkEnd w:id="264"/>
      <w:bookmarkEnd w:id="265"/>
      <w:bookmarkEnd w:id="266"/>
    </w:p>
    <w:tbl>
      <w:tblPr>
        <w:tblStyle w:val="40"/>
        <w:tblW w:w="52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788"/>
        <w:gridCol w:w="627"/>
        <w:gridCol w:w="627"/>
        <w:gridCol w:w="627"/>
        <w:gridCol w:w="559"/>
        <w:gridCol w:w="741"/>
        <w:gridCol w:w="1379"/>
        <w:gridCol w:w="1285"/>
        <w:gridCol w:w="1285"/>
        <w:gridCol w:w="12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24" w:type="pct"/>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宋体" w:hAnsi="宋体" w:cs="宋体"/>
                <w:b/>
                <w:bCs/>
                <w:color w:val="auto"/>
                <w:highlight w:val="none"/>
              </w:rPr>
            </w:pPr>
            <w:r>
              <w:rPr>
                <w:rFonts w:hint="eastAsia" w:ascii="宋体" w:hAnsi="宋体" w:cs="宋体"/>
                <w:b/>
                <w:bCs/>
                <w:color w:val="auto"/>
                <w:highlight w:val="none"/>
              </w:rPr>
              <w:t>序号</w:t>
            </w:r>
          </w:p>
        </w:tc>
        <w:tc>
          <w:tcPr>
            <w:tcW w:w="409" w:type="pct"/>
            <w:tcBorders>
              <w:top w:val="single" w:color="auto" w:sz="12" w:space="0"/>
              <w:bottom w:val="double" w:color="auto" w:sz="4" w:space="0"/>
            </w:tcBorders>
            <w:shd w:val="clear" w:color="auto" w:fill="EEECE1"/>
            <w:vAlign w:val="center"/>
          </w:tcPr>
          <w:p>
            <w:pPr>
              <w:pStyle w:val="64"/>
              <w:keepNext w:val="0"/>
              <w:snapToGrid w:val="0"/>
              <w:spacing w:before="0" w:after="0" w:line="240" w:lineRule="auto"/>
              <w:textAlignment w:val="auto"/>
              <w:rPr>
                <w:rFonts w:ascii="宋体" w:hAnsi="宋体" w:cs="宋体"/>
                <w:b/>
                <w:bCs/>
                <w:snapToGrid/>
                <w:color w:val="auto"/>
                <w:spacing w:val="0"/>
                <w:kern w:val="2"/>
                <w:sz w:val="21"/>
                <w:szCs w:val="24"/>
                <w:highlight w:val="none"/>
              </w:rPr>
            </w:pPr>
            <w:r>
              <w:rPr>
                <w:rFonts w:hint="eastAsia" w:ascii="宋体" w:hAnsi="宋体" w:cs="宋体"/>
                <w:b/>
                <w:bCs/>
                <w:snapToGrid/>
                <w:color w:val="auto"/>
                <w:spacing w:val="0"/>
                <w:kern w:val="2"/>
                <w:sz w:val="21"/>
                <w:szCs w:val="24"/>
                <w:highlight w:val="none"/>
              </w:rPr>
              <w:t>姓名</w:t>
            </w:r>
          </w:p>
        </w:tc>
        <w:tc>
          <w:tcPr>
            <w:tcW w:w="325"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性别</w:t>
            </w:r>
          </w:p>
        </w:tc>
        <w:tc>
          <w:tcPr>
            <w:tcW w:w="325"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年龄</w:t>
            </w:r>
          </w:p>
        </w:tc>
        <w:tc>
          <w:tcPr>
            <w:tcW w:w="325"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学历</w:t>
            </w:r>
          </w:p>
        </w:tc>
        <w:tc>
          <w:tcPr>
            <w:tcW w:w="290"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职称</w:t>
            </w:r>
          </w:p>
        </w:tc>
        <w:tc>
          <w:tcPr>
            <w:tcW w:w="384"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专业</w:t>
            </w:r>
          </w:p>
        </w:tc>
        <w:tc>
          <w:tcPr>
            <w:tcW w:w="715"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经验年限</w:t>
            </w:r>
          </w:p>
        </w:tc>
        <w:tc>
          <w:tcPr>
            <w:tcW w:w="666"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资格证书</w:t>
            </w:r>
          </w:p>
        </w:tc>
        <w:tc>
          <w:tcPr>
            <w:tcW w:w="666"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拟担任职务或承担工作内容</w:t>
            </w:r>
          </w:p>
        </w:tc>
        <w:tc>
          <w:tcPr>
            <w:tcW w:w="666" w:type="pct"/>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b/>
                <w:bCs/>
                <w:color w:val="auto"/>
                <w:highlight w:val="none"/>
              </w:rPr>
            </w:pPr>
            <w:r>
              <w:rPr>
                <w:rFonts w:hint="eastAsia" w:ascii="宋体" w:hAnsi="宋体" w:cs="宋体"/>
                <w:b/>
                <w:bCs/>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4" w:type="pct"/>
            <w:tcBorders>
              <w:top w:val="double" w:color="auto" w:sz="4" w:space="0"/>
            </w:tcBorders>
            <w:vAlign w:val="center"/>
          </w:tcPr>
          <w:p>
            <w:pPr>
              <w:spacing w:line="400" w:lineRule="exact"/>
              <w:jc w:val="center"/>
              <w:rPr>
                <w:rFonts w:ascii="宋体" w:hAnsi="宋体" w:cs="宋体"/>
                <w:color w:val="auto"/>
                <w:highlight w:val="none"/>
              </w:rPr>
            </w:pPr>
          </w:p>
        </w:tc>
        <w:tc>
          <w:tcPr>
            <w:tcW w:w="409" w:type="pct"/>
            <w:tcBorders>
              <w:top w:val="double" w:color="auto" w:sz="4" w:space="0"/>
            </w:tcBorders>
            <w:vAlign w:val="center"/>
          </w:tcPr>
          <w:p>
            <w:pPr>
              <w:spacing w:line="400" w:lineRule="exact"/>
              <w:jc w:val="center"/>
              <w:rPr>
                <w:rFonts w:ascii="宋体" w:hAnsi="宋体" w:cs="宋体"/>
                <w:color w:val="auto"/>
                <w:highlight w:val="none"/>
              </w:rPr>
            </w:pPr>
          </w:p>
        </w:tc>
        <w:tc>
          <w:tcPr>
            <w:tcW w:w="325" w:type="pct"/>
            <w:tcBorders>
              <w:top w:val="double" w:color="auto" w:sz="4" w:space="0"/>
            </w:tcBorders>
            <w:vAlign w:val="center"/>
          </w:tcPr>
          <w:p>
            <w:pPr>
              <w:spacing w:line="400" w:lineRule="exact"/>
              <w:jc w:val="center"/>
              <w:rPr>
                <w:rFonts w:ascii="宋体" w:hAnsi="宋体" w:cs="宋体"/>
                <w:color w:val="auto"/>
                <w:highlight w:val="none"/>
              </w:rPr>
            </w:pPr>
          </w:p>
        </w:tc>
        <w:tc>
          <w:tcPr>
            <w:tcW w:w="325" w:type="pct"/>
            <w:tcBorders>
              <w:top w:val="double" w:color="auto" w:sz="4" w:space="0"/>
            </w:tcBorders>
            <w:vAlign w:val="center"/>
          </w:tcPr>
          <w:p>
            <w:pPr>
              <w:spacing w:line="400" w:lineRule="exact"/>
              <w:jc w:val="center"/>
              <w:rPr>
                <w:rFonts w:ascii="宋体" w:hAnsi="宋体" w:cs="宋体"/>
                <w:color w:val="auto"/>
                <w:highlight w:val="none"/>
              </w:rPr>
            </w:pPr>
          </w:p>
        </w:tc>
        <w:tc>
          <w:tcPr>
            <w:tcW w:w="325" w:type="pct"/>
            <w:tcBorders>
              <w:top w:val="double" w:color="auto" w:sz="4" w:space="0"/>
            </w:tcBorders>
            <w:vAlign w:val="center"/>
          </w:tcPr>
          <w:p>
            <w:pPr>
              <w:spacing w:line="400" w:lineRule="exact"/>
              <w:jc w:val="center"/>
              <w:rPr>
                <w:rFonts w:ascii="宋体" w:hAnsi="宋体" w:cs="宋体"/>
                <w:color w:val="auto"/>
                <w:highlight w:val="none"/>
              </w:rPr>
            </w:pPr>
          </w:p>
        </w:tc>
        <w:tc>
          <w:tcPr>
            <w:tcW w:w="290" w:type="pct"/>
            <w:tcBorders>
              <w:top w:val="double" w:color="auto" w:sz="4" w:space="0"/>
            </w:tcBorders>
            <w:vAlign w:val="center"/>
          </w:tcPr>
          <w:p>
            <w:pPr>
              <w:spacing w:line="400" w:lineRule="exact"/>
              <w:jc w:val="center"/>
              <w:rPr>
                <w:rFonts w:ascii="宋体" w:hAnsi="宋体" w:cs="宋体"/>
                <w:color w:val="auto"/>
                <w:highlight w:val="none"/>
              </w:rPr>
            </w:pPr>
          </w:p>
        </w:tc>
        <w:tc>
          <w:tcPr>
            <w:tcW w:w="384" w:type="pct"/>
            <w:tcBorders>
              <w:top w:val="double" w:color="auto" w:sz="4" w:space="0"/>
            </w:tcBorders>
            <w:vAlign w:val="center"/>
          </w:tcPr>
          <w:p>
            <w:pPr>
              <w:spacing w:line="400" w:lineRule="exact"/>
              <w:jc w:val="center"/>
              <w:rPr>
                <w:rFonts w:ascii="宋体" w:hAnsi="宋体" w:cs="宋体"/>
                <w:color w:val="auto"/>
                <w:highlight w:val="none"/>
              </w:rPr>
            </w:pPr>
          </w:p>
        </w:tc>
        <w:tc>
          <w:tcPr>
            <w:tcW w:w="715" w:type="pct"/>
            <w:tcBorders>
              <w:top w:val="double" w:color="auto" w:sz="4" w:space="0"/>
            </w:tcBorders>
            <w:vAlign w:val="center"/>
          </w:tcPr>
          <w:p>
            <w:pPr>
              <w:spacing w:line="400" w:lineRule="exact"/>
              <w:jc w:val="center"/>
              <w:rPr>
                <w:rFonts w:ascii="宋体" w:hAnsi="宋体" w:cs="宋体"/>
                <w:color w:val="auto"/>
                <w:highlight w:val="none"/>
              </w:rPr>
            </w:pPr>
          </w:p>
        </w:tc>
        <w:tc>
          <w:tcPr>
            <w:tcW w:w="666" w:type="pct"/>
            <w:tcBorders>
              <w:top w:val="double" w:color="auto" w:sz="4" w:space="0"/>
            </w:tcBorders>
            <w:vAlign w:val="center"/>
          </w:tcPr>
          <w:p>
            <w:pPr>
              <w:spacing w:line="400" w:lineRule="exact"/>
              <w:jc w:val="center"/>
              <w:rPr>
                <w:rFonts w:ascii="宋体" w:hAnsi="宋体" w:cs="宋体"/>
                <w:color w:val="auto"/>
                <w:highlight w:val="none"/>
              </w:rPr>
            </w:pPr>
          </w:p>
        </w:tc>
        <w:tc>
          <w:tcPr>
            <w:tcW w:w="666" w:type="pct"/>
            <w:tcBorders>
              <w:top w:val="double" w:color="auto" w:sz="4" w:space="0"/>
            </w:tcBorders>
            <w:vAlign w:val="center"/>
          </w:tcPr>
          <w:p>
            <w:pPr>
              <w:spacing w:line="400" w:lineRule="exact"/>
              <w:jc w:val="center"/>
              <w:rPr>
                <w:rFonts w:ascii="宋体" w:hAnsi="宋体" w:cs="宋体"/>
                <w:color w:val="auto"/>
                <w:highlight w:val="none"/>
              </w:rPr>
            </w:pPr>
          </w:p>
        </w:tc>
        <w:tc>
          <w:tcPr>
            <w:tcW w:w="666" w:type="pct"/>
            <w:tcBorders>
              <w:top w:val="doub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4" w:type="pct"/>
            <w:vAlign w:val="center"/>
          </w:tcPr>
          <w:p>
            <w:pPr>
              <w:spacing w:line="400" w:lineRule="exact"/>
              <w:jc w:val="center"/>
              <w:rPr>
                <w:rFonts w:ascii="宋体" w:hAnsi="宋体" w:cs="宋体"/>
                <w:color w:val="auto"/>
                <w:highlight w:val="none"/>
              </w:rPr>
            </w:pPr>
          </w:p>
        </w:tc>
        <w:tc>
          <w:tcPr>
            <w:tcW w:w="409"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290" w:type="pct"/>
            <w:vAlign w:val="center"/>
          </w:tcPr>
          <w:p>
            <w:pPr>
              <w:spacing w:line="400" w:lineRule="exact"/>
              <w:jc w:val="center"/>
              <w:rPr>
                <w:rFonts w:ascii="宋体" w:hAnsi="宋体" w:cs="宋体"/>
                <w:color w:val="auto"/>
                <w:highlight w:val="none"/>
              </w:rPr>
            </w:pPr>
          </w:p>
        </w:tc>
        <w:tc>
          <w:tcPr>
            <w:tcW w:w="384" w:type="pct"/>
            <w:vAlign w:val="center"/>
          </w:tcPr>
          <w:p>
            <w:pPr>
              <w:spacing w:line="400" w:lineRule="exact"/>
              <w:jc w:val="center"/>
              <w:rPr>
                <w:rFonts w:ascii="宋体" w:hAnsi="宋体" w:cs="宋体"/>
                <w:color w:val="auto"/>
                <w:highlight w:val="none"/>
              </w:rPr>
            </w:pPr>
          </w:p>
        </w:tc>
        <w:tc>
          <w:tcPr>
            <w:tcW w:w="715"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4" w:type="pct"/>
            <w:vAlign w:val="center"/>
          </w:tcPr>
          <w:p>
            <w:pPr>
              <w:spacing w:line="400" w:lineRule="exact"/>
              <w:jc w:val="center"/>
              <w:rPr>
                <w:rFonts w:ascii="宋体" w:hAnsi="宋体" w:cs="宋体"/>
                <w:color w:val="auto"/>
                <w:highlight w:val="none"/>
              </w:rPr>
            </w:pPr>
          </w:p>
        </w:tc>
        <w:tc>
          <w:tcPr>
            <w:tcW w:w="409"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290" w:type="pct"/>
            <w:vAlign w:val="center"/>
          </w:tcPr>
          <w:p>
            <w:pPr>
              <w:spacing w:line="400" w:lineRule="exact"/>
              <w:jc w:val="center"/>
              <w:rPr>
                <w:rFonts w:ascii="宋体" w:hAnsi="宋体" w:cs="宋体"/>
                <w:color w:val="auto"/>
                <w:highlight w:val="none"/>
              </w:rPr>
            </w:pPr>
          </w:p>
        </w:tc>
        <w:tc>
          <w:tcPr>
            <w:tcW w:w="384" w:type="pct"/>
            <w:vAlign w:val="center"/>
          </w:tcPr>
          <w:p>
            <w:pPr>
              <w:spacing w:line="400" w:lineRule="exact"/>
              <w:jc w:val="center"/>
              <w:rPr>
                <w:rFonts w:ascii="宋体" w:hAnsi="宋体" w:cs="宋体"/>
                <w:color w:val="auto"/>
                <w:highlight w:val="none"/>
              </w:rPr>
            </w:pPr>
          </w:p>
        </w:tc>
        <w:tc>
          <w:tcPr>
            <w:tcW w:w="715"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4" w:type="pct"/>
            <w:vAlign w:val="center"/>
          </w:tcPr>
          <w:p>
            <w:pPr>
              <w:spacing w:line="400" w:lineRule="exact"/>
              <w:jc w:val="center"/>
              <w:rPr>
                <w:rFonts w:ascii="宋体" w:hAnsi="宋体" w:cs="宋体"/>
                <w:color w:val="auto"/>
                <w:highlight w:val="none"/>
              </w:rPr>
            </w:pPr>
          </w:p>
        </w:tc>
        <w:tc>
          <w:tcPr>
            <w:tcW w:w="409"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290" w:type="pct"/>
            <w:vAlign w:val="center"/>
          </w:tcPr>
          <w:p>
            <w:pPr>
              <w:spacing w:line="400" w:lineRule="exact"/>
              <w:jc w:val="center"/>
              <w:rPr>
                <w:rFonts w:ascii="宋体" w:hAnsi="宋体" w:cs="宋体"/>
                <w:color w:val="auto"/>
                <w:highlight w:val="none"/>
              </w:rPr>
            </w:pPr>
          </w:p>
        </w:tc>
        <w:tc>
          <w:tcPr>
            <w:tcW w:w="384" w:type="pct"/>
            <w:vAlign w:val="center"/>
          </w:tcPr>
          <w:p>
            <w:pPr>
              <w:spacing w:line="400" w:lineRule="exact"/>
              <w:jc w:val="center"/>
              <w:rPr>
                <w:rFonts w:ascii="宋体" w:hAnsi="宋体" w:cs="宋体"/>
                <w:color w:val="auto"/>
                <w:highlight w:val="none"/>
              </w:rPr>
            </w:pPr>
          </w:p>
        </w:tc>
        <w:tc>
          <w:tcPr>
            <w:tcW w:w="715"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24" w:type="pct"/>
            <w:vAlign w:val="center"/>
          </w:tcPr>
          <w:p>
            <w:pPr>
              <w:spacing w:line="400" w:lineRule="exact"/>
              <w:jc w:val="center"/>
              <w:rPr>
                <w:rFonts w:ascii="宋体" w:hAnsi="宋体" w:cs="宋体"/>
                <w:color w:val="auto"/>
                <w:highlight w:val="none"/>
              </w:rPr>
            </w:pPr>
          </w:p>
        </w:tc>
        <w:tc>
          <w:tcPr>
            <w:tcW w:w="409"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325" w:type="pct"/>
            <w:vAlign w:val="center"/>
          </w:tcPr>
          <w:p>
            <w:pPr>
              <w:spacing w:line="400" w:lineRule="exact"/>
              <w:jc w:val="center"/>
              <w:rPr>
                <w:rFonts w:ascii="宋体" w:hAnsi="宋体" w:cs="宋体"/>
                <w:color w:val="auto"/>
                <w:highlight w:val="none"/>
              </w:rPr>
            </w:pPr>
          </w:p>
        </w:tc>
        <w:tc>
          <w:tcPr>
            <w:tcW w:w="290" w:type="pct"/>
            <w:vAlign w:val="center"/>
          </w:tcPr>
          <w:p>
            <w:pPr>
              <w:spacing w:line="400" w:lineRule="exact"/>
              <w:jc w:val="center"/>
              <w:rPr>
                <w:rFonts w:ascii="宋体" w:hAnsi="宋体" w:cs="宋体"/>
                <w:color w:val="auto"/>
                <w:highlight w:val="none"/>
              </w:rPr>
            </w:pPr>
          </w:p>
        </w:tc>
        <w:tc>
          <w:tcPr>
            <w:tcW w:w="384" w:type="pct"/>
            <w:vAlign w:val="center"/>
          </w:tcPr>
          <w:p>
            <w:pPr>
              <w:spacing w:line="400" w:lineRule="exact"/>
              <w:jc w:val="center"/>
              <w:rPr>
                <w:rFonts w:ascii="宋体" w:hAnsi="宋体" w:cs="宋体"/>
                <w:color w:val="auto"/>
                <w:highlight w:val="none"/>
              </w:rPr>
            </w:pPr>
          </w:p>
        </w:tc>
        <w:tc>
          <w:tcPr>
            <w:tcW w:w="715"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p>
        </w:tc>
        <w:tc>
          <w:tcPr>
            <w:tcW w:w="666" w:type="pct"/>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bl>
    <w:p>
      <w:pPr>
        <w:spacing w:line="440" w:lineRule="exact"/>
        <w:rPr>
          <w:rFonts w:ascii="宋体" w:hAnsi="宋体" w:cs="宋体"/>
          <w:color w:val="auto"/>
          <w:szCs w:val="21"/>
          <w:highlight w:val="none"/>
        </w:rPr>
      </w:pPr>
      <w:r>
        <w:rPr>
          <w:rFonts w:hint="eastAsia" w:ascii="宋体" w:hAnsi="宋体" w:cs="宋体"/>
          <w:bCs/>
          <w:color w:val="auto"/>
          <w:highlight w:val="none"/>
        </w:rPr>
        <w:t>备注：</w:t>
      </w:r>
      <w:r>
        <w:rPr>
          <w:rFonts w:hint="eastAsia" w:ascii="宋体" w:hAnsi="宋体" w:cs="宋体"/>
          <w:color w:val="auto"/>
          <w:szCs w:val="21"/>
          <w:highlight w:val="none"/>
        </w:rPr>
        <w:t>根据评分表的要求提交相应资料。</w:t>
      </w:r>
    </w:p>
    <w:p>
      <w:pPr>
        <w:spacing w:line="500" w:lineRule="exact"/>
        <w:rPr>
          <w:rFonts w:ascii="宋体" w:hAnsi="宋体" w:cs="宋体"/>
          <w:color w:val="auto"/>
          <w:spacing w:val="4"/>
          <w:highlight w:val="none"/>
        </w:rPr>
      </w:pPr>
    </w:p>
    <w:p>
      <w:pPr>
        <w:spacing w:line="500" w:lineRule="exact"/>
        <w:rPr>
          <w:rFonts w:ascii="宋体" w:hAnsi="宋体" w:cs="宋体"/>
          <w:color w:val="auto"/>
          <w:highlight w:val="none"/>
          <w:u w:val="single"/>
        </w:rPr>
      </w:pPr>
      <w:r>
        <w:rPr>
          <w:rFonts w:hint="eastAsia" w:ascii="宋体" w:hAnsi="宋体" w:cs="宋体"/>
          <w:color w:val="auto"/>
          <w:spacing w:val="4"/>
          <w:highlight w:val="none"/>
        </w:rPr>
        <w:t>投标人名称（</w:t>
      </w:r>
      <w:r>
        <w:rPr>
          <w:rFonts w:hint="eastAsia" w:ascii="宋体" w:hAnsi="宋体" w:cs="宋体"/>
          <w:color w:val="auto"/>
          <w:highlight w:val="none"/>
        </w:rPr>
        <w:t>单位盖</w:t>
      </w:r>
      <w:r>
        <w:rPr>
          <w:rFonts w:hint="eastAsia" w:ascii="宋体" w:hAnsi="宋体" w:cs="宋体"/>
          <w:color w:val="auto"/>
          <w:spacing w:val="4"/>
          <w:highlight w:val="none"/>
        </w:rPr>
        <w:t>公章）：</w:t>
      </w:r>
    </w:p>
    <w:p>
      <w:pPr>
        <w:spacing w:line="52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bCs/>
          <w:color w:val="auto"/>
          <w:szCs w:val="21"/>
          <w:highlight w:val="none"/>
          <w:u w:val="single"/>
        </w:rPr>
        <w:t xml:space="preserve">                               </w:t>
      </w:r>
    </w:p>
    <w:bookmarkEnd w:id="252"/>
    <w:p>
      <w:pPr>
        <w:rPr>
          <w:rFonts w:hint="eastAsia" w:ascii="宋体" w:hAnsi="宋体" w:cs="宋体"/>
          <w:b/>
          <w:bCs/>
          <w:color w:val="auto"/>
          <w:sz w:val="32"/>
          <w:szCs w:val="32"/>
          <w:highlight w:val="none"/>
        </w:rPr>
      </w:pPr>
      <w:bookmarkStart w:id="267" w:name="_Toc435515313"/>
      <w:bookmarkStart w:id="268" w:name="_Toc520812017"/>
      <w:bookmarkStart w:id="269" w:name="_Toc7935"/>
      <w:bookmarkStart w:id="270" w:name="_Toc435514873"/>
      <w:r>
        <w:rPr>
          <w:rFonts w:hint="eastAsia" w:ascii="宋体" w:hAnsi="宋体" w:cs="宋体"/>
          <w:color w:val="auto"/>
          <w:highlight w:val="none"/>
        </w:rPr>
        <w:br w:type="page"/>
      </w:r>
      <w:bookmarkStart w:id="271" w:name="_Toc27133"/>
    </w:p>
    <w:p>
      <w:pPr>
        <w:tabs>
          <w:tab w:val="left" w:pos="142"/>
        </w:tabs>
        <w:autoSpaceDE w:val="0"/>
        <w:autoSpaceDN w:val="0"/>
        <w:spacing w:line="360" w:lineRule="auto"/>
        <w:ind w:left="-2" w:leftChars="-1"/>
        <w:jc w:val="center"/>
        <w:outlineLvl w:val="1"/>
        <w:rPr>
          <w:rFonts w:ascii="宋体" w:hAnsi="宋体" w:cs="宋体"/>
          <w:b w:val="0"/>
          <w:bCs w:val="0"/>
          <w:color w:val="auto"/>
          <w:sz w:val="32"/>
          <w:szCs w:val="32"/>
          <w:highlight w:val="none"/>
        </w:rPr>
      </w:pPr>
      <w:bookmarkStart w:id="272" w:name="_Toc531"/>
      <w:r>
        <w:rPr>
          <w:rFonts w:hint="eastAsia" w:ascii="宋体" w:hAnsi="宋体" w:cs="宋体"/>
          <w:b/>
          <w:bCs/>
          <w:color w:val="auto"/>
          <w:sz w:val="32"/>
          <w:szCs w:val="32"/>
          <w:highlight w:val="none"/>
        </w:rPr>
        <w:t>服务方案</w:t>
      </w:r>
      <w:bookmarkEnd w:id="272"/>
    </w:p>
    <w:p>
      <w:pPr>
        <w:pStyle w:val="2"/>
        <w:ind w:left="0" w:leftChars="0" w:firstLine="0" w:firstLineChars="0"/>
        <w:rPr>
          <w:rFonts w:hint="eastAsia" w:ascii="宋体" w:hAnsi="宋体" w:cs="宋体"/>
          <w:b w:val="0"/>
          <w:bCs w:val="0"/>
          <w:color w:val="auto"/>
          <w:sz w:val="21"/>
          <w:szCs w:val="21"/>
          <w:highlight w:val="none"/>
          <w:lang w:val="en-US" w:eastAsia="zh-CN"/>
        </w:rPr>
      </w:pPr>
    </w:p>
    <w:p>
      <w:pPr>
        <w:pStyle w:val="2"/>
        <w:ind w:left="0" w:leftChars="0" w:firstLine="0" w:firstLineChars="0"/>
        <w:rPr>
          <w:rFonts w:hint="eastAsia" w:eastAsia="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rPr>
        <w:t>由投标人根据实际情况自拟</w:t>
      </w:r>
      <w:r>
        <w:rPr>
          <w:rFonts w:hint="eastAsia" w:ascii="宋体" w:hAnsi="宋体" w:cs="宋体"/>
          <w:b w:val="0"/>
          <w:bCs w:val="0"/>
          <w:color w:val="auto"/>
          <w:sz w:val="21"/>
          <w:szCs w:val="21"/>
          <w:highlight w:val="none"/>
          <w:lang w:eastAsia="zh-CN"/>
        </w:rPr>
        <w:t>。</w:t>
      </w:r>
    </w:p>
    <w:p>
      <w:pPr>
        <w:tabs>
          <w:tab w:val="left" w:pos="2127"/>
        </w:tabs>
        <w:spacing w:line="500" w:lineRule="exact"/>
        <w:rPr>
          <w:rFonts w:ascii="宋体" w:hAnsi="宋体" w:cs="宋体"/>
          <w:color w:val="auto"/>
          <w:spacing w:val="4"/>
          <w:sz w:val="24"/>
          <w:highlight w:val="none"/>
        </w:rPr>
      </w:pPr>
    </w:p>
    <w:p>
      <w:pPr>
        <w:spacing w:line="500" w:lineRule="exact"/>
        <w:rPr>
          <w:rFonts w:ascii="宋体" w:hAnsi="宋体" w:cs="宋体"/>
          <w:color w:val="auto"/>
          <w:highlight w:val="none"/>
          <w:u w:val="single"/>
        </w:rPr>
      </w:pPr>
      <w:r>
        <w:rPr>
          <w:rFonts w:hint="eastAsia" w:ascii="宋体" w:hAnsi="宋体" w:cs="宋体"/>
          <w:color w:val="auto"/>
          <w:spacing w:val="4"/>
          <w:highlight w:val="none"/>
        </w:rPr>
        <w:t>投标人名称（</w:t>
      </w:r>
      <w:r>
        <w:rPr>
          <w:rFonts w:hint="eastAsia" w:ascii="宋体" w:hAnsi="宋体" w:cs="宋体"/>
          <w:color w:val="auto"/>
          <w:highlight w:val="none"/>
        </w:rPr>
        <w:t>单位盖</w:t>
      </w:r>
      <w:r>
        <w:rPr>
          <w:rFonts w:hint="eastAsia" w:ascii="宋体" w:hAnsi="宋体" w:cs="宋体"/>
          <w:color w:val="auto"/>
          <w:spacing w:val="4"/>
          <w:highlight w:val="none"/>
        </w:rPr>
        <w:t>公章）：</w:t>
      </w:r>
    </w:p>
    <w:p>
      <w:pPr>
        <w:tabs>
          <w:tab w:val="left" w:pos="2127"/>
        </w:tabs>
        <w:spacing w:line="440" w:lineRule="exact"/>
        <w:rPr>
          <w:rFonts w:ascii="宋体" w:hAnsi="宋体" w:cs="宋体"/>
          <w:color w:val="auto"/>
          <w:spacing w:val="4"/>
          <w:sz w:val="24"/>
          <w:highlight w:val="none"/>
          <w:u w:val="single"/>
        </w:rPr>
      </w:pPr>
      <w:r>
        <w:rPr>
          <w:rFonts w:hint="eastAsia" w:ascii="宋体" w:hAnsi="宋体" w:cs="宋体"/>
          <w:color w:val="auto"/>
          <w:highlight w:val="none"/>
        </w:rPr>
        <w:t>日期：</w:t>
      </w:r>
      <w:r>
        <w:rPr>
          <w:rFonts w:hint="eastAsia" w:ascii="宋体" w:hAnsi="宋体" w:cs="宋体"/>
          <w:bCs/>
          <w:color w:val="auto"/>
          <w:szCs w:val="21"/>
          <w:highlight w:val="none"/>
          <w:u w:val="single"/>
        </w:rPr>
        <w:t xml:space="preserve">                               </w:t>
      </w:r>
    </w:p>
    <w:p>
      <w:pPr>
        <w:rPr>
          <w:rFonts w:ascii="宋体" w:hAnsi="宋体" w:cs="宋体"/>
          <w:color w:val="auto"/>
          <w:highlight w:val="none"/>
        </w:rPr>
      </w:pPr>
    </w:p>
    <w:p>
      <w:pPr>
        <w:rPr>
          <w:rFonts w:ascii="宋体" w:hAnsi="宋体" w:cs="宋体"/>
          <w:b/>
          <w:color w:val="auto"/>
          <w:highlight w:val="none"/>
        </w:rPr>
      </w:pPr>
      <w:r>
        <w:rPr>
          <w:rFonts w:hint="eastAsia" w:ascii="宋体" w:hAnsi="宋体" w:cs="宋体"/>
          <w:b/>
          <w:color w:val="auto"/>
          <w:highlight w:val="none"/>
        </w:rPr>
        <w:br w:type="page"/>
      </w:r>
    </w:p>
    <w:bookmarkEnd w:id="253"/>
    <w:bookmarkEnd w:id="267"/>
    <w:bookmarkEnd w:id="268"/>
    <w:bookmarkEnd w:id="269"/>
    <w:bookmarkEnd w:id="270"/>
    <w:bookmarkEnd w:id="271"/>
    <w:p>
      <w:pPr>
        <w:pStyle w:val="4"/>
        <w:adjustRightInd w:val="0"/>
        <w:snapToGrid w:val="0"/>
        <w:spacing w:beforeLines="50" w:afterLines="50" w:line="360" w:lineRule="auto"/>
        <w:jc w:val="center"/>
        <w:rPr>
          <w:rFonts w:ascii="宋体" w:hAnsi="宋体" w:eastAsia="宋体" w:cs="宋体"/>
          <w:b w:val="0"/>
          <w:bCs w:val="0"/>
          <w:color w:val="auto"/>
          <w:highlight w:val="none"/>
        </w:rPr>
      </w:pPr>
      <w:bookmarkStart w:id="273" w:name="_Toc26199"/>
      <w:bookmarkStart w:id="274" w:name="_Toc11543"/>
      <w:bookmarkStart w:id="275" w:name="_Toc520812018"/>
      <w:bookmarkStart w:id="276" w:name="_Toc22215"/>
      <w:r>
        <w:rPr>
          <w:rFonts w:hint="eastAsia" w:ascii="宋体" w:hAnsi="宋体" w:eastAsia="宋体" w:cs="宋体"/>
          <w:bCs w:val="0"/>
          <w:color w:val="auto"/>
          <w:highlight w:val="none"/>
        </w:rPr>
        <w:t>其他内容、承诺</w:t>
      </w:r>
      <w:bookmarkEnd w:id="273"/>
      <w:bookmarkEnd w:id="274"/>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根据招标文件载明要求或投标人认为对投标有利的其他内容、承诺进行编制：</w:t>
      </w:r>
    </w:p>
    <w:p>
      <w:pPr>
        <w:numPr>
          <w:ilvl w:val="0"/>
          <w:numId w:val="63"/>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投标人获得的相关证书（如有）</w:t>
      </w:r>
    </w:p>
    <w:p>
      <w:pPr>
        <w:numPr>
          <w:ilvl w:val="0"/>
          <w:numId w:val="63"/>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投标人获得的表彰</w:t>
      </w:r>
      <w:r>
        <w:rPr>
          <w:rFonts w:hint="eastAsia" w:ascii="宋体" w:hAnsi="宋体" w:cs="宋体"/>
          <w:b/>
          <w:color w:val="auto"/>
          <w:szCs w:val="21"/>
          <w:highlight w:val="none"/>
        </w:rPr>
        <w:t>（如有）</w:t>
      </w:r>
    </w:p>
    <w:p>
      <w:pPr>
        <w:numPr>
          <w:ilvl w:val="0"/>
          <w:numId w:val="63"/>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投标供应商认为必要说明的其他内容（如有）</w:t>
      </w:r>
    </w:p>
    <w:p>
      <w:pPr>
        <w:adjustRightInd w:val="0"/>
        <w:snapToGrid w:val="0"/>
        <w:spacing w:line="360" w:lineRule="auto"/>
        <w:rPr>
          <w:rFonts w:ascii="宋体" w:hAnsi="宋体" w:cs="宋体"/>
          <w:bCs/>
          <w:color w:val="auto"/>
          <w:szCs w:val="21"/>
          <w:highlight w:val="none"/>
        </w:rPr>
      </w:pPr>
    </w:p>
    <w:p>
      <w:pPr>
        <w:pStyle w:val="4"/>
        <w:adjustRightInd w:val="0"/>
        <w:snapToGrid w:val="0"/>
        <w:spacing w:beforeLines="50" w:afterLines="50" w:line="360" w:lineRule="auto"/>
        <w:jc w:val="center"/>
        <w:rPr>
          <w:rFonts w:ascii="宋体" w:hAnsi="宋体" w:eastAsia="宋体" w:cs="宋体"/>
          <w:bCs w:val="0"/>
          <w:color w:val="auto"/>
          <w:highlight w:val="none"/>
        </w:rPr>
      </w:pPr>
      <w:r>
        <w:rPr>
          <w:rFonts w:hint="eastAsia" w:ascii="宋体" w:hAnsi="宋体" w:eastAsia="宋体" w:cs="宋体"/>
          <w:b w:val="0"/>
          <w:color w:val="auto"/>
          <w:highlight w:val="none"/>
        </w:rPr>
        <w:br w:type="page"/>
      </w:r>
      <w:bookmarkStart w:id="277" w:name="_Toc6998"/>
      <w:bookmarkStart w:id="278" w:name="_Toc29441"/>
      <w:r>
        <w:rPr>
          <w:rFonts w:hint="eastAsia" w:ascii="宋体" w:hAnsi="宋体" w:eastAsia="宋体" w:cs="宋体"/>
          <w:bCs w:val="0"/>
          <w:color w:val="auto"/>
          <w:highlight w:val="none"/>
        </w:rPr>
        <w:t>采购代理服务费承诺书</w:t>
      </w:r>
      <w:bookmarkEnd w:id="275"/>
      <w:bookmarkEnd w:id="276"/>
      <w:bookmarkEnd w:id="277"/>
      <w:bookmarkEnd w:id="278"/>
    </w:p>
    <w:p>
      <w:pPr>
        <w:spacing w:line="360" w:lineRule="auto"/>
        <w:rPr>
          <w:rFonts w:ascii="宋体" w:hAnsi="宋体" w:cs="宋体"/>
          <w:b/>
          <w:color w:val="auto"/>
          <w:highlight w:val="none"/>
        </w:rPr>
      </w:pPr>
      <w:r>
        <w:rPr>
          <w:rFonts w:hint="eastAsia" w:ascii="宋体" w:hAnsi="宋体" w:cs="宋体"/>
          <w:b/>
          <w:color w:val="auto"/>
          <w:highlight w:val="none"/>
        </w:rPr>
        <w:t>中达安股份有限公司:</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本公司</w:t>
      </w:r>
      <w:r>
        <w:rPr>
          <w:rFonts w:hint="eastAsia" w:ascii="宋体" w:hAnsi="宋体" w:cs="宋体"/>
          <w:color w:val="auto"/>
          <w:highlight w:val="none"/>
          <w:u w:val="single"/>
        </w:rPr>
        <w:t xml:space="preserve">       (投标人名称)      </w:t>
      </w:r>
      <w:r>
        <w:rPr>
          <w:rFonts w:hint="eastAsia" w:ascii="宋体" w:hAnsi="宋体" w:cs="宋体"/>
          <w:color w:val="auto"/>
          <w:highlight w:val="none"/>
        </w:rPr>
        <w:t>在参加</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南海出入境边防检查站物业管理服务项目</w:t>
      </w:r>
      <w:r>
        <w:rPr>
          <w:rFonts w:hint="eastAsia" w:ascii="宋体" w:hAnsi="宋体" w:cs="宋体"/>
          <w:color w:val="auto"/>
          <w:highlight w:val="none"/>
          <w:u w:val="single"/>
        </w:rPr>
        <w:t xml:space="preserve">  </w:t>
      </w:r>
      <w:r>
        <w:rPr>
          <w:rFonts w:hint="eastAsia" w:ascii="宋体" w:hAnsi="宋体" w:cs="宋体"/>
          <w:color w:val="auto"/>
          <w:highlight w:val="none"/>
        </w:rPr>
        <w:t>(项目编号：</w:t>
      </w:r>
      <w:r>
        <w:rPr>
          <w:rFonts w:hint="eastAsia" w:ascii="宋体" w:hAnsi="宋体" w:cs="宋体"/>
          <w:bCs/>
          <w:color w:val="auto"/>
          <w:szCs w:val="20"/>
          <w:highlight w:val="none"/>
          <w:lang w:eastAsia="zh-CN"/>
        </w:rPr>
        <w:t>ZDAZB-FS-2021020</w:t>
      </w:r>
      <w:r>
        <w:rPr>
          <w:rFonts w:hint="eastAsia" w:ascii="宋体" w:hAnsi="宋体" w:cs="宋体"/>
          <w:color w:val="auto"/>
          <w:highlight w:val="none"/>
        </w:rPr>
        <w:t>)的招标中如获中标</w:t>
      </w:r>
      <w:r>
        <w:rPr>
          <w:rFonts w:hint="eastAsia" w:ascii="宋体" w:hAnsi="宋体" w:cs="宋体"/>
          <w:color w:val="auto"/>
          <w:szCs w:val="21"/>
          <w:highlight w:val="none"/>
        </w:rPr>
        <w:t>，我公司保证按照招标文件</w:t>
      </w:r>
      <w:r>
        <w:rPr>
          <w:rFonts w:hint="eastAsia" w:ascii="宋体" w:hAnsi="宋体" w:cs="宋体"/>
          <w:color w:val="auto"/>
          <w:highlight w:val="none"/>
        </w:rPr>
        <w:t>的</w:t>
      </w:r>
      <w:r>
        <w:rPr>
          <w:rFonts w:hint="eastAsia" w:ascii="宋体" w:hAnsi="宋体" w:cs="宋体"/>
          <w:color w:val="auto"/>
          <w:szCs w:val="21"/>
          <w:highlight w:val="none"/>
        </w:rPr>
        <w:t>规定缴纳“采购代理服务费”。</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如我公司违反上款承诺,愿承担由此引起的一切法律责任。</w:t>
      </w:r>
    </w:p>
    <w:p>
      <w:pPr>
        <w:tabs>
          <w:tab w:val="center" w:pos="5010"/>
        </w:tabs>
        <w:adjustRightInd w:val="0"/>
        <w:snapToGrid w:val="0"/>
        <w:spacing w:line="360" w:lineRule="auto"/>
        <w:ind w:firstLine="840" w:firstLineChars="400"/>
        <w:rPr>
          <w:rFonts w:ascii="宋体" w:hAnsi="宋体" w:cs="宋体"/>
          <w:color w:val="auto"/>
          <w:highlight w:val="none"/>
        </w:rPr>
      </w:pPr>
      <w:r>
        <w:rPr>
          <w:rFonts w:hint="eastAsia" w:ascii="宋体" w:hAnsi="宋体" w:cs="宋体"/>
          <w:color w:val="auto"/>
          <w:highlight w:val="none"/>
        </w:rPr>
        <w:t>特此承诺!</w:t>
      </w:r>
      <w:r>
        <w:rPr>
          <w:rFonts w:hint="eastAsia" w:ascii="宋体" w:hAnsi="宋体" w:cs="宋体"/>
          <w:color w:val="auto"/>
          <w:highlight w:val="none"/>
        </w:rPr>
        <w:tab/>
      </w:r>
    </w:p>
    <w:p>
      <w:pPr>
        <w:adjustRightInd w:val="0"/>
        <w:snapToGrid w:val="0"/>
        <w:spacing w:line="360" w:lineRule="auto"/>
        <w:ind w:left="315"/>
        <w:jc w:val="left"/>
        <w:rPr>
          <w:rFonts w:ascii="宋体" w:hAnsi="宋体" w:cs="宋体"/>
          <w:color w:val="auto"/>
          <w:highlight w:val="none"/>
        </w:rPr>
      </w:pPr>
      <w:r>
        <w:rPr>
          <w:rFonts w:hint="eastAsia" w:ascii="宋体" w:hAnsi="宋体" w:cs="宋体"/>
          <w:color w:val="auto"/>
          <w:highlight w:val="none"/>
        </w:rPr>
        <w:t>投标人名称(盖公章):</w:t>
      </w:r>
    </w:p>
    <w:p>
      <w:pPr>
        <w:adjustRightInd w:val="0"/>
        <w:snapToGrid w:val="0"/>
        <w:spacing w:line="360" w:lineRule="auto"/>
        <w:ind w:left="315"/>
        <w:jc w:val="left"/>
        <w:rPr>
          <w:rFonts w:ascii="宋体" w:hAnsi="宋体" w:cs="宋体"/>
          <w:color w:val="auto"/>
          <w:highlight w:val="none"/>
        </w:rPr>
      </w:pPr>
      <w:r>
        <w:rPr>
          <w:rFonts w:hint="eastAsia" w:ascii="宋体" w:hAnsi="宋体" w:cs="宋体"/>
          <w:color w:val="auto"/>
          <w:highlight w:val="none"/>
        </w:rPr>
        <w:t>投标人地址:</w:t>
      </w:r>
    </w:p>
    <w:p>
      <w:pPr>
        <w:adjustRightInd w:val="0"/>
        <w:snapToGrid w:val="0"/>
        <w:spacing w:line="360" w:lineRule="auto"/>
        <w:ind w:left="315"/>
        <w:jc w:val="left"/>
        <w:rPr>
          <w:rFonts w:ascii="宋体" w:hAnsi="宋体" w:cs="宋体"/>
          <w:color w:val="auto"/>
          <w:highlight w:val="none"/>
        </w:rPr>
      </w:pPr>
      <w:r>
        <w:rPr>
          <w:rFonts w:hint="eastAsia" w:ascii="宋体" w:hAnsi="宋体" w:cs="宋体"/>
          <w:color w:val="auto"/>
          <w:highlight w:val="none"/>
        </w:rPr>
        <w:t>电话:</w:t>
      </w:r>
    </w:p>
    <w:p>
      <w:pPr>
        <w:adjustRightInd w:val="0"/>
        <w:snapToGrid w:val="0"/>
        <w:spacing w:line="360" w:lineRule="auto"/>
        <w:ind w:left="315"/>
        <w:jc w:val="left"/>
        <w:rPr>
          <w:rFonts w:ascii="宋体" w:hAnsi="宋体" w:cs="宋体"/>
          <w:color w:val="auto"/>
          <w:highlight w:val="none"/>
        </w:rPr>
      </w:pPr>
      <w:r>
        <w:rPr>
          <w:rFonts w:hint="eastAsia" w:ascii="宋体" w:hAnsi="宋体" w:cs="宋体"/>
          <w:color w:val="auto"/>
          <w:highlight w:val="none"/>
        </w:rPr>
        <w:t>传真:</w:t>
      </w:r>
    </w:p>
    <w:p>
      <w:pPr>
        <w:adjustRightInd w:val="0"/>
        <w:snapToGrid w:val="0"/>
        <w:spacing w:line="360" w:lineRule="auto"/>
        <w:ind w:left="315"/>
        <w:jc w:val="left"/>
        <w:rPr>
          <w:rFonts w:ascii="宋体" w:hAnsi="宋体" w:cs="宋体"/>
          <w:color w:val="auto"/>
          <w:highlight w:val="none"/>
        </w:rPr>
      </w:pPr>
      <w:r>
        <w:rPr>
          <w:rFonts w:hint="eastAsia" w:ascii="宋体" w:hAnsi="宋体" w:cs="宋体"/>
          <w:color w:val="auto"/>
          <w:highlight w:val="none"/>
        </w:rPr>
        <w:t>法定代表人或投标人授权代表（签名或盖章）：</w:t>
      </w:r>
    </w:p>
    <w:p>
      <w:pPr>
        <w:adjustRightInd w:val="0"/>
        <w:snapToGrid w:val="0"/>
        <w:spacing w:line="360" w:lineRule="auto"/>
        <w:ind w:left="315"/>
        <w:jc w:val="left"/>
        <w:rPr>
          <w:rFonts w:ascii="宋体" w:hAnsi="宋体" w:cs="宋体"/>
          <w:color w:val="auto"/>
          <w:highlight w:val="none"/>
        </w:rPr>
      </w:pPr>
      <w:r>
        <w:rPr>
          <w:rFonts w:hint="eastAsia" w:ascii="宋体" w:hAnsi="宋体" w:cs="宋体"/>
          <w:color w:val="auto"/>
          <w:highlight w:val="none"/>
        </w:rPr>
        <w:t>签署日期:</w:t>
      </w:r>
    </w:p>
    <w:p>
      <w:pPr>
        <w:jc w:val="center"/>
        <w:rPr>
          <w:rFonts w:ascii="宋体" w:hAnsi="宋体" w:cs="宋体"/>
          <w:b/>
          <w:color w:val="auto"/>
          <w:highlight w:val="none"/>
        </w:rPr>
      </w:pPr>
      <w:r>
        <w:rPr>
          <w:rFonts w:hint="eastAsia" w:ascii="宋体" w:hAnsi="宋体" w:cs="宋体"/>
          <w:b/>
          <w:color w:val="auto"/>
          <w:highlight w:val="none"/>
        </w:rPr>
        <w:t>采购代理服务费发票开具须知</w:t>
      </w:r>
    </w:p>
    <w:tbl>
      <w:tblPr>
        <w:tblStyle w:val="4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86"/>
        <w:gridCol w:w="2032"/>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753" w:type="pct"/>
            <w:tcBorders>
              <w:top w:val="single" w:color="auto" w:sz="12" w:space="0"/>
              <w:left w:val="single" w:color="auto" w:sz="12" w:space="0"/>
              <w:bottom w:val="single" w:color="auto" w:sz="12" w:space="0"/>
            </w:tcBorders>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发票类型</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（请在对应的“□”打“√”，且只能选择其中一项）</w:t>
            </w:r>
          </w:p>
        </w:tc>
        <w:tc>
          <w:tcPr>
            <w:tcW w:w="1100" w:type="pct"/>
            <w:tcBorders>
              <w:top w:val="single" w:color="auto" w:sz="12" w:space="0"/>
              <w:bottom w:val="single" w:color="auto" w:sz="12" w:space="0"/>
            </w:tcBorders>
            <w:vAlign w:val="center"/>
          </w:tcPr>
          <w:p>
            <w:pPr>
              <w:adjustRightInd w:val="0"/>
              <w:snapToGrid w:val="0"/>
              <w:jc w:val="center"/>
              <w:rPr>
                <w:rFonts w:ascii="宋体" w:hAnsi="宋体" w:cs="宋体"/>
                <w:b/>
                <w:i/>
                <w:color w:val="auto"/>
                <w:szCs w:val="21"/>
                <w:highlight w:val="none"/>
              </w:rPr>
            </w:pPr>
            <w:r>
              <w:rPr>
                <w:rFonts w:hint="eastAsia" w:ascii="宋体" w:hAnsi="宋体" w:cs="宋体"/>
                <w:b/>
                <w:color w:val="auto"/>
                <w:szCs w:val="21"/>
                <w:highlight w:val="none"/>
              </w:rPr>
              <w:t>□增值税普通发票</w:t>
            </w:r>
          </w:p>
        </w:tc>
        <w:tc>
          <w:tcPr>
            <w:tcW w:w="1146" w:type="pct"/>
            <w:tcBorders>
              <w:top w:val="single" w:color="auto" w:sz="12" w:space="0"/>
              <w:bottom w:val="single" w:color="auto" w:sz="12" w:space="0"/>
              <w:right w:val="single" w:color="auto" w:sz="12" w:space="0"/>
            </w:tcBorders>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5000" w:type="pct"/>
            <w:gridSpan w:val="3"/>
            <w:tcBorders>
              <w:top w:val="single" w:color="auto" w:sz="12" w:space="0"/>
              <w:left w:val="single" w:color="auto" w:sz="12" w:space="0"/>
              <w:bottom w:val="single" w:color="auto" w:sz="12" w:space="0"/>
              <w:right w:val="single" w:color="auto" w:sz="12" w:space="0"/>
            </w:tcBorders>
          </w:tcPr>
          <w:p>
            <w:pPr>
              <w:adjustRightInd w:val="0"/>
              <w:snapToGrid w:val="0"/>
              <w:rPr>
                <w:rFonts w:ascii="宋体" w:hAnsi="宋体" w:cs="宋体"/>
                <w:b/>
                <w:color w:val="auto"/>
                <w:szCs w:val="21"/>
                <w:highlight w:val="none"/>
              </w:rPr>
            </w:pPr>
            <w:r>
              <w:rPr>
                <w:rFonts w:hint="eastAsia" w:ascii="宋体" w:hAnsi="宋体" w:cs="宋体"/>
                <w:b/>
                <w:color w:val="auto"/>
                <w:szCs w:val="21"/>
                <w:highlight w:val="none"/>
              </w:rPr>
              <w:t>如选择“增值税专用发票”，则投标时必须提供以下资料信息：</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1、一般纳税人资格认定税务通知书或其他可证明具有该项资格证明文件的复印件，加盖单位公章； </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2、客户的开票资料（单位名称、纳税人识别号、地址、电话、开户行全称及账号），加盖单位公章。</w:t>
            </w:r>
          </w:p>
        </w:tc>
      </w:tr>
    </w:tbl>
    <w:p>
      <w:pPr>
        <w:jc w:val="left"/>
        <w:rPr>
          <w:rFonts w:ascii="宋体" w:hAnsi="宋体" w:cs="宋体"/>
          <w:b/>
          <w:color w:val="auto"/>
          <w:szCs w:val="21"/>
          <w:highlight w:val="none"/>
        </w:rPr>
      </w:pPr>
    </w:p>
    <w:p>
      <w:pPr>
        <w:jc w:val="left"/>
        <w:rPr>
          <w:rFonts w:ascii="宋体" w:hAnsi="宋体" w:cs="宋体"/>
          <w:b/>
          <w:color w:val="auto"/>
          <w:szCs w:val="21"/>
          <w:highlight w:val="none"/>
        </w:rPr>
      </w:pPr>
      <w:r>
        <w:rPr>
          <w:rFonts w:hint="eastAsia" w:ascii="宋体" w:hAnsi="宋体" w:cs="宋体"/>
          <w:b/>
          <w:color w:val="auto"/>
          <w:szCs w:val="21"/>
          <w:highlight w:val="none"/>
        </w:rPr>
        <w:t>附：缴纳采购代理服务费账号：</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3113"/>
        <w:gridCol w:w="61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5" w:hRule="atLeast"/>
          <w:jc w:val="center"/>
        </w:trPr>
        <w:tc>
          <w:tcPr>
            <w:tcW w:w="1684"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收款人名称</w:t>
            </w:r>
          </w:p>
        </w:tc>
        <w:tc>
          <w:tcPr>
            <w:tcW w:w="3315"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highlight w:val="none"/>
              </w:rPr>
              <w:t>中达安股份有限公司</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1684"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3315"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招商银行股份有限公司广州白云路支行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1684"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账    号</w:t>
            </w:r>
          </w:p>
        </w:tc>
        <w:tc>
          <w:tcPr>
            <w:tcW w:w="3315" w:type="pct"/>
            <w:vAlign w:val="center"/>
          </w:tcPr>
          <w:p>
            <w:pPr>
              <w:adjustRightInd w:val="0"/>
              <w:snapToGrid w:val="0"/>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999003333310101</w:t>
            </w:r>
          </w:p>
        </w:tc>
      </w:tr>
    </w:tbl>
    <w:p>
      <w:pPr>
        <w:pStyle w:val="36"/>
        <w:shd w:val="clear" w:color="auto" w:fill="FFFFFF"/>
        <w:adjustRightInd w:val="0"/>
        <w:snapToGrid w:val="0"/>
        <w:spacing w:before="0" w:beforeAutospacing="0" w:after="0" w:afterAutospacing="0"/>
        <w:ind w:left="150" w:right="150"/>
        <w:jc w:val="center"/>
        <w:rPr>
          <w:rFonts w:cs="宋体"/>
          <w:color w:val="auto"/>
          <w:sz w:val="32"/>
          <w:szCs w:val="32"/>
          <w:highlight w:val="none"/>
        </w:rPr>
      </w:pPr>
    </w:p>
    <w:p>
      <w:pPr>
        <w:pStyle w:val="36"/>
        <w:shd w:val="clear" w:color="auto" w:fill="FFFFFF"/>
        <w:adjustRightInd w:val="0"/>
        <w:snapToGrid w:val="0"/>
        <w:spacing w:before="0" w:beforeAutospacing="0" w:after="0" w:afterAutospacing="0" w:line="360" w:lineRule="auto"/>
        <w:ind w:left="150" w:right="150"/>
        <w:jc w:val="center"/>
        <w:rPr>
          <w:rFonts w:cs="宋体"/>
          <w:b/>
          <w:bCs/>
          <w:color w:val="auto"/>
          <w:sz w:val="32"/>
          <w:szCs w:val="32"/>
          <w:highlight w:val="none"/>
        </w:rPr>
      </w:pPr>
      <w:r>
        <w:rPr>
          <w:rFonts w:hint="eastAsia" w:cs="宋体"/>
          <w:b/>
          <w:bCs/>
          <w:color w:val="auto"/>
          <w:sz w:val="32"/>
          <w:szCs w:val="32"/>
          <w:highlight w:val="none"/>
        </w:rPr>
        <w:t>温馨提示</w:t>
      </w:r>
    </w:p>
    <w:p>
      <w:pPr>
        <w:numPr>
          <w:ilvl w:val="0"/>
          <w:numId w:val="64"/>
        </w:num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投标时，投标人必须确认“缴纳采购代理服务费”开具的发票类型。</w:t>
      </w:r>
    </w:p>
    <w:p>
      <w:pPr>
        <w:numPr>
          <w:ilvl w:val="0"/>
          <w:numId w:val="64"/>
        </w:num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投标人中标后，我司将按该投标人所递交的投标文件中《采购代理服务费承诺书》确认的发票类型作为开具发票类型的依据；若投标人投标时未确认，则视为开具增值税普通发票。</w:t>
      </w:r>
    </w:p>
    <w:p>
      <w:pPr>
        <w:numPr>
          <w:ilvl w:val="0"/>
          <w:numId w:val="64"/>
        </w:numPr>
        <w:adjustRightInd w:val="0"/>
        <w:snapToGrid w:val="0"/>
        <w:spacing w:line="360" w:lineRule="auto"/>
        <w:rPr>
          <w:rFonts w:ascii="宋体" w:hAnsi="宋体" w:cs="宋体"/>
          <w:color w:val="auto"/>
          <w:highlight w:val="none"/>
        </w:rPr>
      </w:pPr>
      <w:r>
        <w:rPr>
          <w:rFonts w:hint="eastAsia" w:ascii="宋体" w:hAnsi="宋体" w:cs="宋体"/>
          <w:bCs/>
          <w:color w:val="auto"/>
          <w:szCs w:val="21"/>
          <w:highlight w:val="none"/>
        </w:rPr>
        <w:t>因投标人投标时确认的</w:t>
      </w:r>
      <w:r>
        <w:rPr>
          <w:rFonts w:hint="eastAsia" w:ascii="宋体" w:hAnsi="宋体" w:cs="宋体"/>
          <w:color w:val="auto"/>
          <w:szCs w:val="21"/>
          <w:highlight w:val="none"/>
        </w:rPr>
        <w:t>发票类型有误或未确认，我司将不予更换发票类型</w:t>
      </w:r>
      <w:r>
        <w:rPr>
          <w:rFonts w:hint="eastAsia" w:ascii="宋体" w:hAnsi="宋体" w:cs="宋体"/>
          <w:bCs/>
          <w:color w:val="auto"/>
          <w:szCs w:val="21"/>
          <w:highlight w:val="none"/>
        </w:rPr>
        <w:t>。</w:t>
      </w:r>
    </w:p>
    <w:p>
      <w:pPr>
        <w:spacing w:line="440" w:lineRule="exact"/>
        <w:rPr>
          <w:rFonts w:ascii="宋体" w:hAnsi="宋体" w:cs="宋体"/>
          <w:color w:val="auto"/>
          <w:highlight w:val="none"/>
        </w:rPr>
      </w:pPr>
    </w:p>
    <w:p>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ascii="宋体" w:hAnsi="宋体" w:eastAsia="宋体" w:cs="宋体"/>
          <w:bCs w:val="0"/>
          <w:color w:val="auto"/>
          <w:highlight w:val="none"/>
        </w:rPr>
      </w:pPr>
      <w:bookmarkStart w:id="279" w:name="_Toc173553195"/>
      <w:bookmarkStart w:id="280" w:name="_Toc435515318"/>
      <w:bookmarkStart w:id="281" w:name="_Toc6158"/>
      <w:bookmarkStart w:id="282" w:name="_Toc11205"/>
      <w:bookmarkStart w:id="283" w:name="_Toc435514878"/>
      <w:bookmarkStart w:id="284" w:name="_Toc291"/>
      <w:bookmarkStart w:id="285" w:name="_Toc275865626"/>
      <w:bookmarkStart w:id="286" w:name="_Toc520812019"/>
      <w:r>
        <w:rPr>
          <w:rFonts w:hint="eastAsia" w:ascii="宋体" w:hAnsi="宋体" w:eastAsia="宋体" w:cs="宋体"/>
          <w:bCs w:val="0"/>
          <w:color w:val="auto"/>
          <w:highlight w:val="none"/>
        </w:rPr>
        <w:t>退投标保证金说明</w:t>
      </w:r>
      <w:bookmarkEnd w:id="279"/>
      <w:bookmarkEnd w:id="280"/>
      <w:bookmarkEnd w:id="281"/>
      <w:bookmarkEnd w:id="282"/>
      <w:bookmarkEnd w:id="283"/>
      <w:bookmarkEnd w:id="284"/>
      <w:bookmarkEnd w:id="285"/>
      <w:bookmarkEnd w:id="286"/>
    </w:p>
    <w:p>
      <w:pPr>
        <w:adjustRightInd w:val="0"/>
        <w:snapToGrid w:val="0"/>
        <w:spacing w:line="336" w:lineRule="auto"/>
        <w:ind w:firstLine="422" w:firstLineChars="200"/>
        <w:rPr>
          <w:rFonts w:ascii="宋体" w:hAnsi="宋体" w:cs="宋体"/>
          <w:b/>
          <w:bCs/>
          <w:color w:val="auto"/>
          <w:szCs w:val="21"/>
          <w:highlight w:val="none"/>
        </w:rPr>
      </w:pPr>
      <w:bookmarkStart w:id="287" w:name="_Toc435515319"/>
      <w:bookmarkStart w:id="288" w:name="_Toc435514879"/>
      <w:r>
        <w:rPr>
          <w:rFonts w:hint="eastAsia" w:ascii="宋体" w:hAnsi="宋体" w:cs="宋体"/>
          <w:b/>
          <w:bCs/>
          <w:color w:val="auto"/>
          <w:szCs w:val="21"/>
          <w:highlight w:val="none"/>
        </w:rPr>
        <w:t>1.退还投标保证金保函原件的说明</w:t>
      </w:r>
    </w:p>
    <w:p>
      <w:pPr>
        <w:adjustRightInd w:val="0"/>
        <w:snapToGrid w:val="0"/>
        <w:spacing w:line="336"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当供应商收到中标通知书，持相关资料（法定代表人证明书及法定代表人身份证复印件和法定代表人授权委托书及授权代表身份证复印件；如法定代表人亲自办理的，无需提交法定代表人授权委托书及授权代表身份证复印件）至佛山市禅城区季华五路金源街8号国贸大厦退还投标保证金保函原件。</w:t>
      </w:r>
    </w:p>
    <w:p>
      <w:pPr>
        <w:adjustRightInd w:val="0"/>
        <w:snapToGrid w:val="0"/>
        <w:spacing w:line="336"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2.退还汇入我司账户投标保证金的说明</w:t>
      </w:r>
    </w:p>
    <w:p>
      <w:pPr>
        <w:adjustRightInd w:val="0"/>
        <w:snapToGrid w:val="0"/>
        <w:spacing w:line="336"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原则上，</w:t>
      </w:r>
      <w:r>
        <w:rPr>
          <w:rFonts w:hint="eastAsia" w:ascii="宋体" w:hAnsi="宋体" w:cs="宋体"/>
          <w:bCs/>
          <w:color w:val="auto"/>
          <w:szCs w:val="21"/>
          <w:highlight w:val="none"/>
          <w:u w:val="single"/>
        </w:rPr>
        <w:t>我司按保证金汇入的原账户退还，</w:t>
      </w:r>
      <w:r>
        <w:rPr>
          <w:rFonts w:hint="eastAsia" w:ascii="宋体" w:hAnsi="宋体" w:cs="宋体"/>
          <w:bCs/>
          <w:color w:val="auto"/>
          <w:szCs w:val="21"/>
          <w:highlight w:val="none"/>
        </w:rPr>
        <w:t>供应商必须填写原来汇入我司保证金账户时的账户信息。</w:t>
      </w:r>
    </w:p>
    <w:p>
      <w:pPr>
        <w:spacing w:line="336" w:lineRule="auto"/>
        <w:ind w:firstLine="420"/>
        <w:rPr>
          <w:rFonts w:ascii="宋体" w:hAnsi="宋体" w:cs="宋体"/>
          <w:color w:val="auto"/>
          <w:szCs w:val="21"/>
          <w:highlight w:val="none"/>
        </w:rPr>
      </w:pPr>
      <w:r>
        <w:rPr>
          <w:rFonts w:hint="eastAsia" w:ascii="宋体" w:hAnsi="宋体" w:cs="宋体"/>
          <w:color w:val="auto"/>
          <w:szCs w:val="21"/>
          <w:highlight w:val="none"/>
        </w:rPr>
        <w:t>我方为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）所提交的投标保证金</w:t>
      </w:r>
      <w:r>
        <w:rPr>
          <w:rFonts w:hint="eastAsia" w:ascii="宋体" w:hAnsi="宋体" w:cs="宋体"/>
          <w:color w:val="auto"/>
          <w:szCs w:val="21"/>
          <w:highlight w:val="none"/>
          <w:u w:val="single"/>
        </w:rPr>
        <w:t>（大写金额）</w:t>
      </w:r>
      <w:r>
        <w:rPr>
          <w:rFonts w:hint="eastAsia" w:ascii="宋体" w:hAnsi="宋体" w:cs="宋体"/>
          <w:color w:val="auto"/>
          <w:szCs w:val="21"/>
          <w:highlight w:val="none"/>
        </w:rPr>
        <w:t>元，请贵司退还投标保证金</w:t>
      </w:r>
      <w:r>
        <w:rPr>
          <w:rFonts w:hint="eastAsia" w:ascii="宋体" w:hAnsi="宋体" w:cs="宋体"/>
          <w:color w:val="auto"/>
          <w:szCs w:val="21"/>
          <w:highlight w:val="none"/>
          <w:u w:val="single"/>
        </w:rPr>
        <w:t xml:space="preserve">  （小写金额）  </w:t>
      </w:r>
      <w:r>
        <w:rPr>
          <w:rFonts w:hint="eastAsia" w:ascii="宋体" w:hAnsi="宋体" w:cs="宋体"/>
          <w:color w:val="auto"/>
          <w:szCs w:val="21"/>
          <w:highlight w:val="none"/>
        </w:rPr>
        <w:t>元，请划到以下账户：</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554"/>
        <w:gridCol w:w="1200"/>
        <w:gridCol w:w="1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68"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收款人名称</w:t>
            </w:r>
          </w:p>
        </w:tc>
        <w:tc>
          <w:tcPr>
            <w:tcW w:w="4031" w:type="pct"/>
            <w:gridSpan w:val="3"/>
            <w:vAlign w:val="center"/>
          </w:tcPr>
          <w:p>
            <w:pPr>
              <w:adjustRightInd w:val="0"/>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68"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收款人地址</w:t>
            </w:r>
          </w:p>
        </w:tc>
        <w:tc>
          <w:tcPr>
            <w:tcW w:w="4031" w:type="pct"/>
            <w:gridSpan w:val="3"/>
            <w:vAlign w:val="center"/>
          </w:tcPr>
          <w:p>
            <w:pPr>
              <w:adjustRightInd w:val="0"/>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968"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rPr>
              <w:br w:type="textWrapping"/>
            </w:r>
            <w:r>
              <w:rPr>
                <w:rFonts w:hint="eastAsia" w:ascii="宋体" w:hAnsi="宋体" w:cs="宋体"/>
                <w:color w:val="auto"/>
                <w:szCs w:val="21"/>
                <w:highlight w:val="none"/>
                <w:u w:val="single"/>
              </w:rPr>
              <w:t>（具体到XX银行XX支行）</w:t>
            </w:r>
          </w:p>
        </w:tc>
        <w:tc>
          <w:tcPr>
            <w:tcW w:w="2464" w:type="pct"/>
            <w:vAlign w:val="center"/>
          </w:tcPr>
          <w:p>
            <w:pPr>
              <w:adjustRightInd w:val="0"/>
              <w:snapToGrid w:val="0"/>
              <w:jc w:val="center"/>
              <w:rPr>
                <w:rFonts w:ascii="宋体" w:hAnsi="宋体" w:cs="宋体"/>
                <w:color w:val="auto"/>
                <w:szCs w:val="21"/>
                <w:highlight w:val="none"/>
              </w:rPr>
            </w:pPr>
          </w:p>
        </w:tc>
        <w:tc>
          <w:tcPr>
            <w:tcW w:w="649"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917" w:type="pct"/>
            <w:vAlign w:val="center"/>
          </w:tcPr>
          <w:p>
            <w:pPr>
              <w:adjustRightInd w:val="0"/>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68"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账    号</w:t>
            </w:r>
          </w:p>
        </w:tc>
        <w:tc>
          <w:tcPr>
            <w:tcW w:w="2464" w:type="pct"/>
            <w:vAlign w:val="center"/>
          </w:tcPr>
          <w:p>
            <w:pPr>
              <w:adjustRightInd w:val="0"/>
              <w:snapToGrid w:val="0"/>
              <w:jc w:val="center"/>
              <w:rPr>
                <w:rFonts w:ascii="宋体" w:hAnsi="宋体" w:cs="宋体"/>
                <w:color w:val="auto"/>
                <w:szCs w:val="21"/>
                <w:highlight w:val="none"/>
              </w:rPr>
            </w:pPr>
          </w:p>
        </w:tc>
        <w:tc>
          <w:tcPr>
            <w:tcW w:w="649" w:type="pc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917" w:type="pct"/>
            <w:vAlign w:val="center"/>
          </w:tcPr>
          <w:p>
            <w:pPr>
              <w:adjustRightInd w:val="0"/>
              <w:snapToGrid w:val="0"/>
              <w:jc w:val="center"/>
              <w:rPr>
                <w:rFonts w:ascii="宋体" w:hAnsi="宋体" w:cs="宋体"/>
                <w:color w:val="auto"/>
                <w:szCs w:val="21"/>
                <w:highlight w:val="none"/>
              </w:rPr>
            </w:pPr>
          </w:p>
        </w:tc>
      </w:tr>
    </w:tbl>
    <w:p>
      <w:pPr>
        <w:adjustRightInd w:val="0"/>
        <w:snapToGrid w:val="0"/>
        <w:spacing w:line="336" w:lineRule="auto"/>
        <w:ind w:firstLine="420" w:firstLineChars="200"/>
        <w:rPr>
          <w:rFonts w:ascii="宋体" w:hAnsi="宋体" w:cs="宋体"/>
          <w:color w:val="auto"/>
          <w:szCs w:val="21"/>
          <w:highlight w:val="none"/>
          <w:u w:val="dash"/>
        </w:rPr>
      </w:pPr>
      <w:r>
        <w:rPr>
          <w:rFonts w:hint="eastAsia" w:ascii="宋体" w:hAnsi="宋体" w:cs="宋体"/>
          <w:color w:val="auto"/>
          <w:szCs w:val="21"/>
          <w:highlight w:val="none"/>
        </w:rPr>
        <w:t>备注：当供应商收到</w:t>
      </w:r>
      <w:r>
        <w:rPr>
          <w:rFonts w:hint="eastAsia" w:ascii="宋体" w:hAnsi="宋体" w:cs="宋体"/>
          <w:bCs/>
          <w:color w:val="auto"/>
          <w:szCs w:val="21"/>
          <w:highlight w:val="none"/>
        </w:rPr>
        <w:t>中标通知书</w:t>
      </w:r>
      <w:r>
        <w:rPr>
          <w:rFonts w:hint="eastAsia" w:ascii="宋体" w:hAnsi="宋体" w:cs="宋体"/>
          <w:color w:val="auto"/>
          <w:szCs w:val="21"/>
          <w:highlight w:val="none"/>
        </w:rPr>
        <w:t>，申请退还投标保证金时，</w:t>
      </w:r>
      <w:r>
        <w:rPr>
          <w:rFonts w:hint="eastAsia" w:ascii="宋体" w:hAnsi="宋体" w:cs="宋体"/>
          <w:color w:val="auto"/>
          <w:szCs w:val="21"/>
          <w:highlight w:val="none"/>
          <w:lang w:eastAsia="zh-TW"/>
        </w:rPr>
        <w:t>采购代理机构</w:t>
      </w:r>
      <w:r>
        <w:rPr>
          <w:rFonts w:hint="eastAsia" w:ascii="宋体" w:hAnsi="宋体" w:cs="宋体"/>
          <w:color w:val="auto"/>
          <w:szCs w:val="21"/>
          <w:highlight w:val="none"/>
        </w:rPr>
        <w:t>按其提供的“退还投标保证金说明”，按规定退还供应商的投标保证金。</w:t>
      </w:r>
    </w:p>
    <w:p>
      <w:pPr>
        <w:adjustRightInd w:val="0"/>
        <w:snapToGrid w:val="0"/>
        <w:spacing w:line="336"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为及时退还供应商的投标保证金，若存在以下三种情形的，则按以下规定执行：</w:t>
      </w:r>
    </w:p>
    <w:p>
      <w:pPr>
        <w:pStyle w:val="95"/>
        <w:numPr>
          <w:ilvl w:val="0"/>
          <w:numId w:val="65"/>
        </w:numPr>
        <w:adjustRightInd w:val="0"/>
        <w:snapToGrid w:val="0"/>
        <w:spacing w:line="336" w:lineRule="auto"/>
        <w:ind w:firstLineChars="0"/>
        <w:rPr>
          <w:rFonts w:ascii="宋体" w:hAnsi="宋体" w:cs="宋体"/>
          <w:b/>
          <w:color w:val="auto"/>
          <w:szCs w:val="21"/>
          <w:highlight w:val="none"/>
        </w:rPr>
      </w:pPr>
      <w:r>
        <w:rPr>
          <w:rFonts w:hint="eastAsia" w:ascii="宋体" w:hAnsi="宋体" w:cs="宋体"/>
          <w:b/>
          <w:color w:val="auto"/>
          <w:szCs w:val="21"/>
          <w:highlight w:val="none"/>
        </w:rPr>
        <w:t>单位名称变更</w:t>
      </w:r>
    </w:p>
    <w:p>
      <w:pPr>
        <w:pStyle w:val="95"/>
        <w:adjustRightInd w:val="0"/>
        <w:snapToGrid w:val="0"/>
        <w:spacing w:line="336" w:lineRule="auto"/>
        <w:ind w:left="420" w:firstLine="0" w:firstLineChars="0"/>
        <w:rPr>
          <w:rFonts w:ascii="宋体" w:hAnsi="宋体" w:cs="宋体"/>
          <w:color w:val="auto"/>
          <w:szCs w:val="21"/>
          <w:highlight w:val="none"/>
        </w:rPr>
      </w:pPr>
      <w:r>
        <w:rPr>
          <w:rFonts w:hint="eastAsia" w:ascii="宋体" w:hAnsi="宋体" w:cs="宋体"/>
          <w:color w:val="auto"/>
          <w:szCs w:val="21"/>
          <w:highlight w:val="none"/>
        </w:rPr>
        <w:t>A. 若供应商投标后，其单位名称变更，退还其投标保证金时，除提交</w:t>
      </w:r>
      <w:r>
        <w:rPr>
          <w:rFonts w:hint="eastAsia" w:ascii="宋体" w:hAnsi="宋体" w:cs="宋体"/>
          <w:b/>
          <w:color w:val="auto"/>
          <w:szCs w:val="21"/>
          <w:highlight w:val="none"/>
          <w:u w:val="thick"/>
        </w:rPr>
        <w:t>变更后的账户信息</w:t>
      </w:r>
      <w:r>
        <w:rPr>
          <w:rFonts w:hint="eastAsia" w:ascii="宋体" w:hAnsi="宋体" w:cs="宋体"/>
          <w:color w:val="auto"/>
          <w:szCs w:val="21"/>
          <w:highlight w:val="none"/>
        </w:rPr>
        <w:t>外，还需附</w:t>
      </w:r>
      <w:r>
        <w:rPr>
          <w:rFonts w:hint="eastAsia" w:ascii="宋体" w:hAnsi="宋体" w:cs="宋体"/>
          <w:b/>
          <w:color w:val="auto"/>
          <w:szCs w:val="21"/>
          <w:highlight w:val="none"/>
          <w:u w:val="thick"/>
        </w:rPr>
        <w:t>工商部门打印的变更信息说明</w:t>
      </w:r>
      <w:r>
        <w:rPr>
          <w:rFonts w:hint="eastAsia" w:ascii="宋体" w:hAnsi="宋体" w:cs="宋体"/>
          <w:color w:val="auto"/>
          <w:szCs w:val="21"/>
          <w:highlight w:val="none"/>
        </w:rPr>
        <w:t>，并加盖</w:t>
      </w:r>
      <w:r>
        <w:rPr>
          <w:rFonts w:hint="eastAsia" w:ascii="宋体" w:hAnsi="宋体" w:cs="宋体"/>
          <w:b/>
          <w:color w:val="auto"/>
          <w:szCs w:val="21"/>
          <w:highlight w:val="none"/>
          <w:u w:val="thick"/>
        </w:rPr>
        <w:t>单位公章</w:t>
      </w:r>
      <w:r>
        <w:rPr>
          <w:rFonts w:hint="eastAsia" w:ascii="宋体" w:hAnsi="宋体" w:cs="宋体"/>
          <w:color w:val="auto"/>
          <w:szCs w:val="21"/>
          <w:highlight w:val="none"/>
        </w:rPr>
        <w:t>；</w:t>
      </w:r>
    </w:p>
    <w:p>
      <w:pPr>
        <w:pStyle w:val="95"/>
        <w:adjustRightInd w:val="0"/>
        <w:snapToGrid w:val="0"/>
        <w:spacing w:line="336" w:lineRule="auto"/>
        <w:ind w:left="420" w:firstLine="0" w:firstLineChars="0"/>
        <w:rPr>
          <w:rFonts w:ascii="宋体" w:hAnsi="宋体" w:cs="宋体"/>
          <w:b/>
          <w:color w:val="auto"/>
          <w:szCs w:val="21"/>
          <w:highlight w:val="none"/>
        </w:rPr>
      </w:pPr>
      <w:r>
        <w:rPr>
          <w:rFonts w:hint="eastAsia" w:ascii="宋体" w:hAnsi="宋体" w:cs="宋体"/>
          <w:color w:val="auto"/>
          <w:szCs w:val="21"/>
          <w:highlight w:val="none"/>
        </w:rPr>
        <w:t>B. 若供应商只变更营业执照信息，没有及时变更银行账户的，只需提供</w:t>
      </w:r>
      <w:r>
        <w:rPr>
          <w:rFonts w:hint="eastAsia" w:ascii="宋体" w:hAnsi="宋体" w:cs="宋体"/>
          <w:b/>
          <w:color w:val="auto"/>
          <w:szCs w:val="21"/>
          <w:highlight w:val="none"/>
          <w:u w:val="thick"/>
        </w:rPr>
        <w:t>银行开户许可证复印件</w:t>
      </w:r>
      <w:r>
        <w:rPr>
          <w:rFonts w:hint="eastAsia" w:ascii="宋体" w:hAnsi="宋体" w:cs="宋体"/>
          <w:color w:val="auto"/>
          <w:szCs w:val="21"/>
          <w:highlight w:val="none"/>
        </w:rPr>
        <w:t>，并加盖</w:t>
      </w:r>
      <w:r>
        <w:rPr>
          <w:rFonts w:hint="eastAsia" w:ascii="宋体" w:hAnsi="宋体" w:cs="宋体"/>
          <w:b/>
          <w:color w:val="auto"/>
          <w:szCs w:val="21"/>
          <w:highlight w:val="none"/>
          <w:u w:val="thick"/>
        </w:rPr>
        <w:t>单位公章</w:t>
      </w:r>
      <w:r>
        <w:rPr>
          <w:rFonts w:hint="eastAsia" w:ascii="宋体" w:hAnsi="宋体" w:cs="宋体"/>
          <w:b/>
          <w:color w:val="auto"/>
          <w:szCs w:val="21"/>
          <w:highlight w:val="none"/>
        </w:rPr>
        <w:t>。</w:t>
      </w:r>
    </w:p>
    <w:p>
      <w:pPr>
        <w:pStyle w:val="95"/>
        <w:numPr>
          <w:ilvl w:val="0"/>
          <w:numId w:val="65"/>
        </w:numPr>
        <w:adjustRightInd w:val="0"/>
        <w:snapToGrid w:val="0"/>
        <w:spacing w:line="336" w:lineRule="auto"/>
        <w:ind w:firstLineChars="0"/>
        <w:rPr>
          <w:rFonts w:ascii="宋体" w:hAnsi="宋体" w:cs="宋体"/>
          <w:b/>
          <w:color w:val="auto"/>
          <w:szCs w:val="21"/>
          <w:highlight w:val="none"/>
        </w:rPr>
      </w:pPr>
      <w:r>
        <w:rPr>
          <w:rFonts w:hint="eastAsia" w:ascii="宋体" w:hAnsi="宋体" w:cs="宋体"/>
          <w:b/>
          <w:color w:val="auto"/>
          <w:szCs w:val="21"/>
          <w:highlight w:val="none"/>
        </w:rPr>
        <w:t>收支两条线</w:t>
      </w:r>
    </w:p>
    <w:p>
      <w:pPr>
        <w:pStyle w:val="95"/>
        <w:adjustRightInd w:val="0"/>
        <w:snapToGrid w:val="0"/>
        <w:spacing w:line="336" w:lineRule="auto"/>
        <w:ind w:left="462" w:firstLine="0" w:firstLineChars="0"/>
        <w:rPr>
          <w:rFonts w:ascii="宋体" w:hAnsi="宋体" w:cs="宋体"/>
          <w:color w:val="auto"/>
          <w:szCs w:val="21"/>
          <w:highlight w:val="none"/>
        </w:rPr>
      </w:pPr>
      <w:r>
        <w:rPr>
          <w:rFonts w:hint="eastAsia" w:ascii="宋体" w:hAnsi="宋体" w:cs="宋体"/>
          <w:color w:val="auto"/>
          <w:szCs w:val="21"/>
          <w:highlight w:val="none"/>
        </w:rPr>
        <w:t>若供应商属于资金收支两条线的情况，则以上账户信息必须是其单位收款账户的信息，供应商需附上</w:t>
      </w:r>
      <w:r>
        <w:rPr>
          <w:rFonts w:hint="eastAsia" w:ascii="宋体" w:hAnsi="宋体" w:cs="宋体"/>
          <w:b/>
          <w:color w:val="auto"/>
          <w:szCs w:val="21"/>
          <w:highlight w:val="none"/>
          <w:u w:val="thick"/>
        </w:rPr>
        <w:t>收支两条线的说明</w:t>
      </w:r>
      <w:r>
        <w:rPr>
          <w:rFonts w:hint="eastAsia" w:ascii="宋体" w:hAnsi="宋体" w:cs="宋体"/>
          <w:color w:val="auto"/>
          <w:szCs w:val="21"/>
          <w:highlight w:val="none"/>
        </w:rPr>
        <w:t>，并</w:t>
      </w:r>
      <w:r>
        <w:rPr>
          <w:rFonts w:hint="eastAsia" w:ascii="宋体" w:hAnsi="宋体" w:cs="宋体"/>
          <w:b/>
          <w:color w:val="auto"/>
          <w:szCs w:val="21"/>
          <w:highlight w:val="none"/>
          <w:u w:val="single"/>
        </w:rPr>
        <w:t>加盖单位公章</w:t>
      </w:r>
      <w:r>
        <w:rPr>
          <w:rFonts w:hint="eastAsia" w:ascii="宋体" w:hAnsi="宋体" w:cs="宋体"/>
          <w:color w:val="auto"/>
          <w:szCs w:val="21"/>
          <w:highlight w:val="none"/>
          <w:u w:val="single"/>
        </w:rPr>
        <w:t>：</w:t>
      </w:r>
    </w:p>
    <w:p>
      <w:pPr>
        <w:pStyle w:val="95"/>
        <w:numPr>
          <w:ilvl w:val="0"/>
          <w:numId w:val="65"/>
        </w:numPr>
        <w:adjustRightInd w:val="0"/>
        <w:snapToGrid w:val="0"/>
        <w:spacing w:line="336" w:lineRule="auto"/>
        <w:ind w:firstLineChars="0"/>
        <w:rPr>
          <w:rFonts w:ascii="宋体" w:hAnsi="宋体" w:cs="宋体"/>
          <w:b/>
          <w:color w:val="auto"/>
          <w:szCs w:val="21"/>
          <w:highlight w:val="none"/>
        </w:rPr>
      </w:pPr>
      <w:r>
        <w:rPr>
          <w:rFonts w:hint="eastAsia" w:ascii="宋体" w:hAnsi="宋体" w:cs="宋体"/>
          <w:b/>
          <w:color w:val="auto"/>
          <w:szCs w:val="21"/>
          <w:highlight w:val="none"/>
        </w:rPr>
        <w:t>标前确定不参加开标会</w:t>
      </w:r>
    </w:p>
    <w:p>
      <w:pPr>
        <w:adjustRightInd w:val="0"/>
        <w:snapToGrid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若供应商已汇入投标保证金，但不参加开标会时，请务必在项目开标会前将该《退投标保证金说明》按规定填写完整盖章后，</w:t>
      </w:r>
      <w:r>
        <w:rPr>
          <w:color w:val="auto"/>
          <w:highlight w:val="none"/>
        </w:rPr>
        <w:fldChar w:fldCharType="begin"/>
      </w:r>
      <w:r>
        <w:rPr>
          <w:color w:val="auto"/>
          <w:highlight w:val="none"/>
        </w:rPr>
        <w:instrText xml:space="preserve"> HYPERLINK "mailto:扫描发至clfs0757@163.com" </w:instrText>
      </w:r>
      <w:r>
        <w:rPr>
          <w:color w:val="auto"/>
          <w:highlight w:val="none"/>
        </w:rPr>
        <w:fldChar w:fldCharType="separate"/>
      </w:r>
      <w:r>
        <w:rPr>
          <w:rStyle w:val="47"/>
          <w:rFonts w:hint="eastAsia" w:ascii="宋体" w:hAnsi="宋体" w:cs="宋体"/>
          <w:color w:val="auto"/>
          <w:sz w:val="21"/>
          <w:szCs w:val="21"/>
          <w:highlight w:val="none"/>
        </w:rPr>
        <w:t>扫描发至zdafszb@163.com</w:t>
      </w:r>
      <w:r>
        <w:rPr>
          <w:rStyle w:val="47"/>
          <w:rFonts w:hint="eastAsia" w:ascii="宋体" w:hAnsi="宋体" w:cs="宋体"/>
          <w:color w:val="auto"/>
          <w:sz w:val="21"/>
          <w:szCs w:val="21"/>
          <w:highlight w:val="none"/>
        </w:rPr>
        <w:fldChar w:fldCharType="end"/>
      </w:r>
      <w:r>
        <w:rPr>
          <w:rStyle w:val="47"/>
          <w:rFonts w:hint="eastAsia" w:ascii="宋体" w:hAnsi="宋体" w:cs="宋体"/>
          <w:color w:val="auto"/>
          <w:sz w:val="21"/>
          <w:szCs w:val="21"/>
          <w:highlight w:val="none"/>
          <w:lang w:val="en-US" w:eastAsia="zh-CN"/>
        </w:rPr>
        <w:t xml:space="preserve"> 邮箱</w:t>
      </w:r>
      <w:r>
        <w:rPr>
          <w:rFonts w:hint="eastAsia" w:ascii="宋体" w:hAnsi="宋体" w:cs="宋体"/>
          <w:color w:val="auto"/>
          <w:szCs w:val="21"/>
          <w:highlight w:val="none"/>
        </w:rPr>
        <w:t>。</w:t>
      </w:r>
    </w:p>
    <w:p>
      <w:pPr>
        <w:tabs>
          <w:tab w:val="left" w:pos="676"/>
          <w:tab w:val="left" w:pos="2330"/>
          <w:tab w:val="left" w:pos="9230"/>
        </w:tabs>
        <w:autoSpaceDE w:val="0"/>
        <w:autoSpaceDN w:val="0"/>
        <w:adjustRightInd w:val="0"/>
        <w:snapToGrid w:val="0"/>
        <w:spacing w:line="336" w:lineRule="auto"/>
        <w:ind w:left="4679" w:leftChars="2228"/>
        <w:rPr>
          <w:rFonts w:ascii="宋体" w:hAnsi="宋体" w:cs="宋体"/>
          <w:color w:val="auto"/>
          <w:szCs w:val="21"/>
          <w:highlight w:val="none"/>
        </w:rPr>
      </w:pPr>
      <w:r>
        <w:rPr>
          <w:rFonts w:hint="eastAsia" w:ascii="宋体" w:hAnsi="宋体" w:cs="宋体"/>
          <w:color w:val="auto"/>
          <w:szCs w:val="21"/>
          <w:highlight w:val="none"/>
        </w:rPr>
        <w:t>供应商（公章）：</w:t>
      </w:r>
    </w:p>
    <w:p>
      <w:pPr>
        <w:pStyle w:val="21"/>
        <w:adjustRightInd w:val="0"/>
        <w:snapToGrid w:val="0"/>
        <w:spacing w:line="336" w:lineRule="auto"/>
        <w:ind w:left="4679" w:leftChars="2228"/>
        <w:rPr>
          <w:rFonts w:hAnsi="宋体" w:cs="宋体"/>
          <w:color w:val="auto"/>
          <w:sz w:val="21"/>
          <w:highlight w:val="none"/>
        </w:rPr>
      </w:pPr>
      <w:r>
        <w:rPr>
          <w:rFonts w:hint="eastAsia" w:hAnsi="宋体" w:cs="宋体"/>
          <w:color w:val="auto"/>
          <w:sz w:val="21"/>
          <w:highlight w:val="none"/>
        </w:rPr>
        <w:t>日期：</w:t>
      </w:r>
    </w:p>
    <w:p>
      <w:pPr>
        <w:pStyle w:val="5"/>
        <w:keepLines/>
        <w:adjustRightInd w:val="0"/>
        <w:snapToGrid w:val="0"/>
        <w:spacing w:beforeLines="50" w:afterLines="50" w:line="336" w:lineRule="auto"/>
        <w:rPr>
          <w:rFonts w:ascii="宋体" w:eastAsia="宋体" w:cs="宋体"/>
          <w:color w:val="auto"/>
          <w:sz w:val="21"/>
          <w:szCs w:val="21"/>
          <w:highlight w:val="none"/>
        </w:rPr>
      </w:pPr>
      <w:bookmarkStart w:id="289" w:name="_Toc8568"/>
      <w:bookmarkStart w:id="290" w:name="_Toc30857"/>
      <w:r>
        <w:rPr>
          <w:rFonts w:hint="eastAsia" w:ascii="宋体" w:eastAsia="宋体" w:cs="宋体"/>
          <w:color w:val="auto"/>
          <w:sz w:val="21"/>
          <w:szCs w:val="21"/>
          <w:highlight w:val="none"/>
        </w:rPr>
        <w:t>附:投标保证金缴纳的证明文件(如提交投标担保函，此处附保函复印件)</w:t>
      </w:r>
      <w:bookmarkEnd w:id="289"/>
      <w:bookmarkEnd w:id="290"/>
    </w:p>
    <w:p>
      <w:pPr>
        <w:widowControl/>
        <w:jc w:val="left"/>
        <w:rPr>
          <w:rFonts w:ascii="宋体" w:hAnsi="宋体" w:cs="宋体"/>
          <w:bCs/>
          <w:color w:val="auto"/>
          <w:sz w:val="36"/>
          <w:szCs w:val="36"/>
          <w:highlight w:val="none"/>
        </w:rPr>
      </w:pPr>
      <w:r>
        <w:rPr>
          <w:rFonts w:hint="eastAsia" w:ascii="宋体" w:hAnsi="宋体" w:cs="宋体"/>
          <w:b/>
          <w:color w:val="auto"/>
          <w:sz w:val="36"/>
          <w:szCs w:val="36"/>
          <w:highlight w:val="none"/>
        </w:rPr>
        <w:br w:type="page"/>
      </w:r>
    </w:p>
    <w:bookmarkEnd w:id="287"/>
    <w:bookmarkEnd w:id="288"/>
    <w:p>
      <w:pPr>
        <w:pStyle w:val="3"/>
        <w:keepLines/>
        <w:widowControl w:val="0"/>
        <w:adjustRightInd w:val="0"/>
        <w:snapToGrid w:val="0"/>
        <w:spacing w:beforeLines="81" w:line="360" w:lineRule="auto"/>
        <w:jc w:val="center"/>
        <w:rPr>
          <w:rFonts w:ascii="黑体" w:hAnsi="黑体" w:eastAsia="黑体" w:cs="黑体"/>
          <w:b w:val="0"/>
          <w:bCs w:val="0"/>
          <w:color w:val="auto"/>
          <w:sz w:val="32"/>
          <w:szCs w:val="32"/>
          <w:highlight w:val="none"/>
        </w:rPr>
      </w:pPr>
      <w:bookmarkStart w:id="291" w:name="_Toc435516649"/>
      <w:bookmarkStart w:id="292" w:name="_Toc435174932"/>
      <w:bookmarkStart w:id="293" w:name="_Toc438223135"/>
      <w:bookmarkStart w:id="294" w:name="_Toc520811885"/>
      <w:bookmarkStart w:id="295" w:name="_Toc20089"/>
      <w:r>
        <w:rPr>
          <w:rFonts w:hint="eastAsia" w:ascii="黑体" w:hAnsi="黑体" w:eastAsia="黑体" w:cs="黑体"/>
          <w:color w:val="auto"/>
          <w:kern w:val="2"/>
          <w:sz w:val="32"/>
          <w:szCs w:val="32"/>
          <w:highlight w:val="none"/>
        </w:rPr>
        <w:t>第七章 投标人须知</w:t>
      </w:r>
      <w:bookmarkEnd w:id="291"/>
      <w:bookmarkEnd w:id="292"/>
      <w:bookmarkEnd w:id="293"/>
      <w:bookmarkEnd w:id="294"/>
      <w:bookmarkEnd w:id="295"/>
    </w:p>
    <w:p>
      <w:pPr>
        <w:numPr>
          <w:ilvl w:val="0"/>
          <w:numId w:val="66"/>
        </w:numPr>
        <w:autoSpaceDE w:val="0"/>
        <w:autoSpaceDN w:val="0"/>
        <w:adjustRightInd w:val="0"/>
        <w:snapToGrid w:val="0"/>
        <w:spacing w:beforeLines="100" w:afterLines="100" w:line="360" w:lineRule="auto"/>
        <w:ind w:left="1012" w:hanging="1012" w:hangingChars="360"/>
        <w:jc w:val="center"/>
        <w:outlineLvl w:val="1"/>
        <w:rPr>
          <w:rFonts w:ascii="宋体" w:hAnsi="宋体" w:cs="宋体"/>
          <w:b/>
          <w:color w:val="auto"/>
          <w:sz w:val="28"/>
          <w:szCs w:val="28"/>
          <w:highlight w:val="none"/>
          <w:lang w:eastAsia="zh-TW"/>
        </w:rPr>
      </w:pPr>
      <w:bookmarkStart w:id="296" w:name="_Toc520812022"/>
      <w:bookmarkStart w:id="297" w:name="_Toc435174933"/>
      <w:bookmarkStart w:id="298" w:name="_Toc5208"/>
      <w:bookmarkStart w:id="299" w:name="_Toc438223136"/>
      <w:bookmarkStart w:id="300" w:name="_Toc26663"/>
      <w:bookmarkStart w:id="301" w:name="_Toc435516650"/>
      <w:bookmarkStart w:id="302" w:name="_Toc4838"/>
      <w:r>
        <w:rPr>
          <w:rFonts w:hint="eastAsia" w:ascii="宋体" w:hAnsi="宋体" w:cs="宋体"/>
          <w:b/>
          <w:color w:val="auto"/>
          <w:sz w:val="28"/>
          <w:szCs w:val="28"/>
          <w:highlight w:val="none"/>
          <w:lang w:eastAsia="zh-TW"/>
        </w:rPr>
        <w:t>说 明</w:t>
      </w:r>
      <w:bookmarkEnd w:id="296"/>
      <w:bookmarkEnd w:id="297"/>
      <w:bookmarkEnd w:id="298"/>
      <w:bookmarkEnd w:id="299"/>
      <w:bookmarkEnd w:id="300"/>
      <w:bookmarkEnd w:id="301"/>
      <w:bookmarkEnd w:id="302"/>
    </w:p>
    <w:p>
      <w:pPr>
        <w:numPr>
          <w:ilvl w:val="0"/>
          <w:numId w:val="67"/>
        </w:numPr>
        <w:autoSpaceDE w:val="0"/>
        <w:autoSpaceDN w:val="0"/>
        <w:adjustRightInd w:val="0"/>
        <w:snapToGrid w:val="0"/>
        <w:spacing w:line="360" w:lineRule="auto"/>
        <w:outlineLvl w:val="2"/>
        <w:rPr>
          <w:rFonts w:ascii="宋体" w:hAnsi="宋体" w:cs="宋体"/>
          <w:b/>
          <w:bCs/>
          <w:color w:val="auto"/>
          <w:szCs w:val="21"/>
          <w:highlight w:val="none"/>
        </w:rPr>
      </w:pPr>
      <w:bookmarkStart w:id="303" w:name="_Toc11712"/>
      <w:bookmarkStart w:id="304" w:name="_Toc3124"/>
      <w:bookmarkStart w:id="305" w:name="_Toc14407"/>
      <w:bookmarkStart w:id="306" w:name="_Toc520812023"/>
      <w:r>
        <w:rPr>
          <w:rFonts w:hint="eastAsia" w:ascii="宋体" w:hAnsi="宋体" w:cs="宋体"/>
          <w:b/>
          <w:bCs/>
          <w:color w:val="auto"/>
          <w:szCs w:val="21"/>
          <w:highlight w:val="none"/>
        </w:rPr>
        <w:t>适用范围</w:t>
      </w:r>
      <w:bookmarkEnd w:id="303"/>
      <w:bookmarkEnd w:id="304"/>
      <w:bookmarkEnd w:id="305"/>
      <w:bookmarkEnd w:id="306"/>
    </w:p>
    <w:p>
      <w:pPr>
        <w:numPr>
          <w:ilvl w:val="1"/>
          <w:numId w:val="67"/>
        </w:numPr>
        <w:autoSpaceDE w:val="0"/>
        <w:autoSpaceDN w:val="0"/>
        <w:adjustRightInd w:val="0"/>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本招标文件适用于本投标邀请中所述项目的政府采购。</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strike/>
          <w:color w:val="auto"/>
          <w:szCs w:val="21"/>
          <w:highlight w:val="none"/>
        </w:rPr>
      </w:pPr>
      <w:bookmarkStart w:id="307" w:name="_Toc520812024"/>
      <w:bookmarkStart w:id="308" w:name="_Toc1409"/>
      <w:bookmarkStart w:id="309" w:name="_Toc29771"/>
      <w:bookmarkStart w:id="310" w:name="_Toc19720"/>
      <w:r>
        <w:rPr>
          <w:rFonts w:hint="eastAsia" w:ascii="宋体" w:hAnsi="宋体" w:cs="宋体"/>
          <w:b/>
          <w:color w:val="auto"/>
          <w:szCs w:val="21"/>
          <w:highlight w:val="none"/>
        </w:rPr>
        <w:t>定义</w:t>
      </w:r>
      <w:bookmarkEnd w:id="307"/>
      <w:bookmarkEnd w:id="308"/>
      <w:bookmarkEnd w:id="309"/>
      <w:bookmarkEnd w:id="310"/>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监督管理部门是指：财政部国库司政府采购管理处。</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采购人是指：中华人民共和国南海出入境边防检查站。</w:t>
      </w:r>
    </w:p>
    <w:p>
      <w:pPr>
        <w:numPr>
          <w:ilvl w:val="1"/>
          <w:numId w:val="67"/>
        </w:numPr>
        <w:autoSpaceDE w:val="0"/>
        <w:autoSpaceDN w:val="0"/>
        <w:adjustRightInd w:val="0"/>
        <w:snapToGrid w:val="0"/>
        <w:spacing w:line="360" w:lineRule="auto"/>
        <w:rPr>
          <w:rFonts w:ascii="宋体" w:hAnsi="宋体" w:cs="宋体"/>
          <w:strike/>
          <w:color w:val="auto"/>
          <w:szCs w:val="21"/>
          <w:highlight w:val="none"/>
        </w:rPr>
      </w:pPr>
      <w:r>
        <w:rPr>
          <w:rFonts w:hint="eastAsia" w:ascii="宋体" w:hAnsi="宋体" w:cs="宋体"/>
          <w:color w:val="auto"/>
          <w:szCs w:val="21"/>
          <w:highlight w:val="none"/>
        </w:rPr>
        <w:t>采购代理机构是指：中达安股份有限公司。</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供应商是指在中华人民共和国境内注册（登记），向采购人提供货物、工程或者服务的法人、其他组织或者自然人。</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投标人是指响应招标、参加投标竞争的法人、其他组织或者自然人。</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中标人是指经法定程序确定并授予合同的投标人。</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11" w:name="_Toc520812025"/>
      <w:bookmarkStart w:id="312" w:name="_Toc9215"/>
      <w:bookmarkStart w:id="313" w:name="_Toc9026"/>
      <w:bookmarkStart w:id="314" w:name="_Toc580"/>
      <w:r>
        <w:rPr>
          <w:rFonts w:hint="eastAsia" w:ascii="宋体" w:hAnsi="宋体" w:cs="宋体"/>
          <w:b/>
          <w:bCs/>
          <w:color w:val="auto"/>
          <w:szCs w:val="21"/>
          <w:highlight w:val="none"/>
        </w:rPr>
        <w:t>合格的货物和服务</w:t>
      </w:r>
      <w:bookmarkEnd w:id="311"/>
      <w:bookmarkEnd w:id="312"/>
      <w:bookmarkEnd w:id="313"/>
      <w:bookmarkEnd w:id="314"/>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实质性要求，其中包括但不仅仅限于投标人须承担的与供货有关的辅助服务，如运输、保险、安装、调试、提供技术援助、培训和招标文件规定的投标人应承担的其它义务。招标文件没有提及招标货物来源地的，根据《中华人民共和国政府采购法》的相关规定均应是本国货物，允许部分或全部产品采购进口产品，投标人既可提供本国产品，也可以提供进口产品，进口产品是指通过中国海关报关验放进入中国境内且产自关境外的产品。</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 “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numPr>
          <w:ilvl w:val="1"/>
          <w:numId w:val="67"/>
        </w:numPr>
        <w:autoSpaceDE w:val="0"/>
        <w:autoSpaceDN w:val="0"/>
        <w:adjustRightInd w:val="0"/>
        <w:snapToGrid w:val="0"/>
        <w:spacing w:line="360" w:lineRule="auto"/>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须保证，采购人在中华人民共和国接受和使用投标人所提供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15" w:name="_Toc28373"/>
      <w:bookmarkStart w:id="316" w:name="_Toc520812026"/>
      <w:bookmarkStart w:id="317" w:name="_Toc16676"/>
      <w:bookmarkStart w:id="318" w:name="_Toc26773"/>
      <w:r>
        <w:rPr>
          <w:rFonts w:hint="eastAsia" w:ascii="宋体" w:hAnsi="宋体" w:cs="宋体"/>
          <w:b/>
          <w:bCs/>
          <w:color w:val="auto"/>
          <w:szCs w:val="21"/>
          <w:highlight w:val="none"/>
        </w:rPr>
        <w:t>投标费用</w:t>
      </w:r>
      <w:bookmarkEnd w:id="315"/>
      <w:bookmarkEnd w:id="316"/>
      <w:bookmarkEnd w:id="317"/>
      <w:bookmarkEnd w:id="318"/>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投标人应承担所有与准备和参加投标有关的费用。不论投标的结果如何</w:t>
      </w:r>
      <w:r>
        <w:rPr>
          <w:rFonts w:hint="eastAsia" w:ascii="宋体" w:hAnsi="宋体" w:cs="宋体"/>
          <w:color w:val="auto"/>
          <w:szCs w:val="21"/>
          <w:highlight w:val="none"/>
        </w:rPr>
        <w:t>，</w:t>
      </w:r>
      <w:r>
        <w:rPr>
          <w:rFonts w:hint="eastAsia" w:ascii="宋体" w:hAnsi="宋体" w:cs="宋体"/>
          <w:color w:val="auto"/>
          <w:szCs w:val="21"/>
          <w:highlight w:val="none"/>
          <w:lang w:eastAsia="zh-TW"/>
        </w:rPr>
        <w:t>采购人或者采购代理机构均无义务和责任承担这些费用</w:t>
      </w:r>
      <w:r>
        <w:rPr>
          <w:rFonts w:hint="eastAsia" w:ascii="宋体" w:hAnsi="宋体" w:cs="宋体"/>
          <w:color w:val="auto"/>
          <w:szCs w:val="21"/>
          <w:highlight w:val="none"/>
        </w:rPr>
        <w:t>。</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19" w:name="_Toc520812027"/>
      <w:bookmarkStart w:id="320" w:name="_Toc3968"/>
      <w:bookmarkStart w:id="321" w:name="_Toc12527"/>
      <w:bookmarkStart w:id="322" w:name="_Toc7177"/>
      <w:bookmarkStart w:id="323" w:name="_Hlk508700383"/>
      <w:r>
        <w:rPr>
          <w:rFonts w:hint="eastAsia" w:ascii="宋体" w:hAnsi="宋体" w:cs="宋体"/>
          <w:b/>
          <w:bCs/>
          <w:color w:val="auto"/>
          <w:szCs w:val="21"/>
          <w:highlight w:val="none"/>
        </w:rPr>
        <w:t>其他</w:t>
      </w:r>
      <w:bookmarkEnd w:id="319"/>
      <w:bookmarkEnd w:id="320"/>
      <w:bookmarkEnd w:id="321"/>
      <w:bookmarkEnd w:id="322"/>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b/>
          <w:color w:val="auto"/>
          <w:sz w:val="28"/>
          <w:szCs w:val="28"/>
          <w:highlight w:val="none"/>
          <w:lang w:eastAsia="zh-TW"/>
        </w:rPr>
      </w:pPr>
      <w:r>
        <w:rPr>
          <w:rFonts w:hint="eastAsia" w:ascii="宋体" w:hAnsi="宋体" w:cs="宋体"/>
          <w:color w:val="auto"/>
          <w:szCs w:val="21"/>
          <w:highlight w:val="none"/>
          <w:lang w:eastAsia="zh-TW"/>
        </w:rPr>
        <w:t>供应商（投标人）向我司咨询的有关项目事项，一切以法律法规的规定和本公司书面答复为准，其他一切形式均为个人意见，不代表本公司的意见。</w:t>
      </w:r>
      <w:bookmarkEnd w:id="323"/>
      <w:bookmarkStart w:id="324" w:name="_Toc9515"/>
      <w:bookmarkStart w:id="325" w:name="_Toc12671"/>
      <w:bookmarkStart w:id="326" w:name="_Toc435516651"/>
      <w:bookmarkStart w:id="327" w:name="_Toc435174934"/>
      <w:bookmarkStart w:id="328" w:name="_Toc520812028"/>
      <w:bookmarkStart w:id="329" w:name="_Toc438223137"/>
    </w:p>
    <w:p>
      <w:pPr>
        <w:numPr>
          <w:ilvl w:val="0"/>
          <w:numId w:val="66"/>
        </w:numPr>
        <w:autoSpaceDE w:val="0"/>
        <w:autoSpaceDN w:val="0"/>
        <w:adjustRightInd w:val="0"/>
        <w:snapToGrid w:val="0"/>
        <w:spacing w:beforeLines="100" w:afterLines="100" w:line="360" w:lineRule="auto"/>
        <w:ind w:left="1012" w:hanging="1012" w:hangingChars="360"/>
        <w:jc w:val="center"/>
        <w:outlineLvl w:val="1"/>
        <w:rPr>
          <w:rFonts w:ascii="宋体" w:hAnsi="宋体" w:cs="宋体"/>
          <w:b/>
          <w:color w:val="auto"/>
          <w:sz w:val="28"/>
          <w:szCs w:val="28"/>
          <w:highlight w:val="none"/>
          <w:lang w:eastAsia="zh-TW"/>
        </w:rPr>
      </w:pPr>
      <w:bookmarkStart w:id="330" w:name="_Toc17428"/>
      <w:r>
        <w:rPr>
          <w:rFonts w:hint="eastAsia" w:ascii="宋体" w:hAnsi="宋体" w:cs="宋体"/>
          <w:b/>
          <w:color w:val="auto"/>
          <w:sz w:val="28"/>
          <w:szCs w:val="28"/>
          <w:highlight w:val="none"/>
          <w:lang w:eastAsia="zh-TW"/>
        </w:rPr>
        <w:t>招标文件</w:t>
      </w:r>
      <w:bookmarkEnd w:id="324"/>
      <w:bookmarkEnd w:id="325"/>
      <w:bookmarkEnd w:id="326"/>
      <w:bookmarkEnd w:id="327"/>
      <w:bookmarkEnd w:id="328"/>
      <w:bookmarkEnd w:id="329"/>
      <w:bookmarkEnd w:id="330"/>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31" w:name="_Toc520812029"/>
      <w:bookmarkStart w:id="332" w:name="_Toc23353"/>
      <w:bookmarkStart w:id="333" w:name="_Toc16460"/>
      <w:bookmarkStart w:id="334" w:name="_Toc3881"/>
      <w:r>
        <w:rPr>
          <w:rFonts w:hint="eastAsia" w:ascii="宋体" w:hAnsi="宋体" w:cs="宋体"/>
          <w:b/>
          <w:bCs/>
          <w:color w:val="auto"/>
          <w:szCs w:val="21"/>
          <w:highlight w:val="none"/>
        </w:rPr>
        <w:t>招标文件的编制依据与构成</w:t>
      </w:r>
      <w:bookmarkEnd w:id="331"/>
      <w:bookmarkEnd w:id="332"/>
      <w:bookmarkEnd w:id="333"/>
      <w:bookmarkEnd w:id="334"/>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rPr>
        <w:t>本招标文件的编制依据是《中华人民共和国政府采购法》、《中华人民共和国政府采购法实施条例》、《政府采购货物和服务招标投标管理办法》、《政府购买服务管理办法》及其配套的法规、规章、政策等。</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招标文件以中文文字编写。招标文件共</w:t>
      </w:r>
      <w:r>
        <w:rPr>
          <w:rFonts w:hint="eastAsia" w:ascii="宋体" w:hAnsi="宋体" w:cs="宋体"/>
          <w:color w:val="auto"/>
          <w:szCs w:val="21"/>
          <w:highlight w:val="none"/>
        </w:rPr>
        <w:t>七</w:t>
      </w:r>
      <w:r>
        <w:rPr>
          <w:rFonts w:hint="eastAsia" w:ascii="宋体" w:hAnsi="宋体" w:cs="宋体"/>
          <w:color w:val="auto"/>
          <w:szCs w:val="21"/>
          <w:highlight w:val="none"/>
          <w:lang w:eastAsia="zh-TW"/>
        </w:rPr>
        <w:t>章。</w:t>
      </w:r>
      <w:r>
        <w:rPr>
          <w:rFonts w:hint="eastAsia" w:ascii="宋体" w:hAnsi="宋体" w:cs="宋体"/>
          <w:color w:val="auto"/>
          <w:szCs w:val="21"/>
          <w:highlight w:val="none"/>
        </w:rPr>
        <w:t>由下列文件以及在招标过程中发出的澄清、修改和补充文件组成，</w:t>
      </w:r>
      <w:r>
        <w:rPr>
          <w:rFonts w:hint="eastAsia" w:ascii="宋体" w:hAnsi="宋体" w:cs="宋体"/>
          <w:color w:val="auto"/>
          <w:szCs w:val="21"/>
          <w:highlight w:val="none"/>
          <w:lang w:eastAsia="zh-TW"/>
        </w:rPr>
        <w:t>内容如下</w:t>
      </w:r>
      <w:r>
        <w:rPr>
          <w:rFonts w:hint="eastAsia" w:ascii="宋体" w:hAnsi="宋体" w:cs="宋体"/>
          <w:color w:val="auto"/>
          <w:szCs w:val="21"/>
          <w:highlight w:val="none"/>
        </w:rPr>
        <w:t>：</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lang w:eastAsia="zh-TW"/>
        </w:rPr>
        <w:t>第一章</w:t>
      </w:r>
      <w:r>
        <w:rPr>
          <w:rFonts w:hint="eastAsia" w:ascii="宋体" w:hAnsi="宋体" w:cs="宋体"/>
          <w:bCs/>
          <w:color w:val="auto"/>
          <w:szCs w:val="21"/>
          <w:highlight w:val="none"/>
        </w:rPr>
        <w:t>　</w:t>
      </w:r>
      <w:r>
        <w:rPr>
          <w:rFonts w:hint="eastAsia" w:ascii="宋体" w:hAnsi="宋体" w:cs="宋体"/>
          <w:bCs/>
          <w:color w:val="auto"/>
          <w:szCs w:val="21"/>
          <w:highlight w:val="none"/>
          <w:lang w:eastAsia="zh-TW"/>
        </w:rPr>
        <w:t>投标邀请</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lang w:eastAsia="zh-TW"/>
        </w:rPr>
        <w:t>第二章</w:t>
      </w:r>
      <w:r>
        <w:rPr>
          <w:rFonts w:hint="eastAsia" w:ascii="宋体" w:hAnsi="宋体" w:cs="宋体"/>
          <w:bCs/>
          <w:color w:val="auto"/>
          <w:szCs w:val="21"/>
          <w:highlight w:val="none"/>
        </w:rPr>
        <w:t>　</w:t>
      </w:r>
      <w:r>
        <w:rPr>
          <w:rFonts w:hint="eastAsia" w:ascii="宋体" w:hAnsi="宋体" w:cs="宋体"/>
          <w:bCs/>
          <w:color w:val="auto"/>
          <w:szCs w:val="21"/>
          <w:highlight w:val="none"/>
          <w:lang w:eastAsia="zh-TW"/>
        </w:rPr>
        <w:t>投标资料表</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rPr>
        <w:t>第三章　</w:t>
      </w:r>
      <w:r>
        <w:rPr>
          <w:rFonts w:hint="eastAsia" w:ascii="宋体" w:hAnsi="宋体" w:cs="宋体"/>
          <w:bCs/>
          <w:color w:val="auto"/>
          <w:szCs w:val="21"/>
          <w:highlight w:val="none"/>
          <w:lang w:eastAsia="zh-TW"/>
        </w:rPr>
        <w:t>用户需求书</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lang w:eastAsia="zh-TW"/>
        </w:rPr>
        <w:t>第</w:t>
      </w:r>
      <w:r>
        <w:rPr>
          <w:rFonts w:hint="eastAsia" w:ascii="宋体" w:hAnsi="宋体" w:cs="宋体"/>
          <w:bCs/>
          <w:color w:val="auto"/>
          <w:szCs w:val="21"/>
          <w:highlight w:val="none"/>
        </w:rPr>
        <w:t>四</w:t>
      </w:r>
      <w:r>
        <w:rPr>
          <w:rFonts w:hint="eastAsia" w:ascii="宋体" w:hAnsi="宋体" w:cs="宋体"/>
          <w:bCs/>
          <w:color w:val="auto"/>
          <w:szCs w:val="21"/>
          <w:highlight w:val="none"/>
          <w:lang w:eastAsia="zh-TW"/>
        </w:rPr>
        <w:t>章</w:t>
      </w:r>
      <w:r>
        <w:rPr>
          <w:rFonts w:hint="eastAsia" w:ascii="宋体" w:hAnsi="宋体" w:cs="宋体"/>
          <w:bCs/>
          <w:color w:val="auto"/>
          <w:szCs w:val="21"/>
          <w:highlight w:val="none"/>
        </w:rPr>
        <w:t>　开标、评标、定标</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lang w:eastAsia="zh-TW"/>
        </w:rPr>
        <w:t>第</w:t>
      </w:r>
      <w:r>
        <w:rPr>
          <w:rFonts w:hint="eastAsia" w:ascii="宋体" w:hAnsi="宋体" w:cs="宋体"/>
          <w:bCs/>
          <w:color w:val="auto"/>
          <w:szCs w:val="21"/>
          <w:highlight w:val="none"/>
        </w:rPr>
        <w:t>五</w:t>
      </w:r>
      <w:r>
        <w:rPr>
          <w:rFonts w:hint="eastAsia" w:ascii="宋体" w:hAnsi="宋体" w:cs="宋体"/>
          <w:bCs/>
          <w:color w:val="auto"/>
          <w:szCs w:val="21"/>
          <w:highlight w:val="none"/>
          <w:lang w:eastAsia="zh-TW"/>
        </w:rPr>
        <w:t>章</w:t>
      </w:r>
      <w:r>
        <w:rPr>
          <w:rFonts w:hint="eastAsia" w:ascii="宋体" w:hAnsi="宋体" w:cs="宋体"/>
          <w:bCs/>
          <w:color w:val="auto"/>
          <w:szCs w:val="21"/>
          <w:highlight w:val="none"/>
        </w:rPr>
        <w:t>　</w:t>
      </w:r>
      <w:r>
        <w:rPr>
          <w:rFonts w:hint="eastAsia" w:ascii="宋体" w:hAnsi="宋体" w:cs="宋体"/>
          <w:bCs/>
          <w:color w:val="auto"/>
          <w:szCs w:val="21"/>
          <w:highlight w:val="none"/>
          <w:lang w:eastAsia="zh-TW"/>
        </w:rPr>
        <w:t>合同</w:t>
      </w:r>
      <w:r>
        <w:rPr>
          <w:rFonts w:hint="eastAsia" w:ascii="宋体" w:hAnsi="宋体" w:cs="宋体"/>
          <w:bCs/>
          <w:color w:val="auto"/>
          <w:szCs w:val="21"/>
          <w:highlight w:val="none"/>
        </w:rPr>
        <w:t>文本</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lang w:eastAsia="zh-TW"/>
        </w:rPr>
        <w:t>第</w:t>
      </w:r>
      <w:r>
        <w:rPr>
          <w:rFonts w:hint="eastAsia" w:ascii="宋体" w:hAnsi="宋体" w:cs="宋体"/>
          <w:bCs/>
          <w:color w:val="auto"/>
          <w:szCs w:val="21"/>
          <w:highlight w:val="none"/>
        </w:rPr>
        <w:t>六</w:t>
      </w:r>
      <w:r>
        <w:rPr>
          <w:rFonts w:hint="eastAsia" w:ascii="宋体" w:hAnsi="宋体" w:cs="宋体"/>
          <w:bCs/>
          <w:color w:val="auto"/>
          <w:szCs w:val="21"/>
          <w:highlight w:val="none"/>
          <w:lang w:eastAsia="zh-TW"/>
        </w:rPr>
        <w:t>章</w:t>
      </w:r>
      <w:r>
        <w:rPr>
          <w:rFonts w:hint="eastAsia" w:ascii="宋体" w:hAnsi="宋体" w:cs="宋体"/>
          <w:bCs/>
          <w:color w:val="auto"/>
          <w:szCs w:val="21"/>
          <w:highlight w:val="none"/>
        </w:rPr>
        <w:t>　投标文件格式</w:t>
      </w:r>
    </w:p>
    <w:p>
      <w:pPr>
        <w:snapToGrid w:val="0"/>
        <w:spacing w:line="360" w:lineRule="auto"/>
        <w:ind w:left="445" w:leftChars="212" w:firstLine="1"/>
        <w:rPr>
          <w:rFonts w:ascii="宋体" w:hAnsi="宋体" w:cs="宋体"/>
          <w:bCs/>
          <w:color w:val="auto"/>
          <w:szCs w:val="21"/>
          <w:highlight w:val="none"/>
        </w:rPr>
      </w:pPr>
      <w:r>
        <w:rPr>
          <w:rFonts w:hint="eastAsia" w:ascii="宋体" w:hAnsi="宋体" w:cs="宋体"/>
          <w:bCs/>
          <w:color w:val="auto"/>
          <w:szCs w:val="21"/>
          <w:highlight w:val="none"/>
        </w:rPr>
        <w:t>第七章　</w:t>
      </w:r>
      <w:r>
        <w:rPr>
          <w:rFonts w:hint="eastAsia" w:ascii="宋体" w:hAnsi="宋体" w:cs="宋体"/>
          <w:bCs/>
          <w:color w:val="auto"/>
          <w:szCs w:val="21"/>
          <w:highlight w:val="none"/>
          <w:lang w:eastAsia="zh-TW"/>
        </w:rPr>
        <w:t>投标人须知</w:t>
      </w:r>
    </w:p>
    <w:p>
      <w:pPr>
        <w:numPr>
          <w:ilvl w:val="1"/>
          <w:numId w:val="67"/>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numPr>
          <w:ilvl w:val="1"/>
          <w:numId w:val="67"/>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本招标文件是编制投标文件、评标、定标及中标后签订合同的重要依据。</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35" w:name="_Toc20703"/>
      <w:bookmarkStart w:id="336" w:name="_Toc31819"/>
      <w:bookmarkStart w:id="337" w:name="_Toc520812030"/>
      <w:bookmarkStart w:id="338" w:name="_Toc21242"/>
      <w:r>
        <w:rPr>
          <w:rFonts w:hint="eastAsia" w:ascii="宋体" w:hAnsi="宋体" w:cs="宋体"/>
          <w:b/>
          <w:bCs/>
          <w:color w:val="auto"/>
          <w:szCs w:val="21"/>
          <w:highlight w:val="none"/>
        </w:rPr>
        <w:t>招标文件的澄清或修改</w:t>
      </w:r>
      <w:bookmarkEnd w:id="335"/>
      <w:bookmarkEnd w:id="336"/>
      <w:bookmarkEnd w:id="337"/>
      <w:bookmarkEnd w:id="338"/>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采购人或者采购代理机构可以对已发出的招标文件进行必要的澄清或者修改，澄清或者修改内容以书面形式发出。当招标文件的澄清、修改、补充等在同一内容的表述不一致时，以最后发出的书面形式的文件为准。</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采购人或者采购代理机构</w:t>
      </w:r>
      <w:r>
        <w:rPr>
          <w:rFonts w:hint="eastAsia" w:ascii="宋体" w:hAnsi="宋体" w:cs="宋体"/>
          <w:color w:val="auto"/>
          <w:szCs w:val="21"/>
          <w:highlight w:val="none"/>
        </w:rPr>
        <w:t>将</w:t>
      </w:r>
      <w:r>
        <w:rPr>
          <w:rFonts w:hint="eastAsia" w:ascii="宋体" w:hAnsi="宋体" w:cs="宋体"/>
          <w:color w:val="auto"/>
          <w:szCs w:val="21"/>
          <w:highlight w:val="none"/>
          <w:lang w:eastAsia="zh-TW"/>
        </w:rPr>
        <w:t>澄清</w:t>
      </w:r>
      <w:r>
        <w:rPr>
          <w:rFonts w:hint="eastAsia" w:ascii="宋体" w:hAnsi="宋体" w:cs="宋体"/>
          <w:color w:val="auto"/>
          <w:szCs w:val="21"/>
          <w:highlight w:val="none"/>
        </w:rPr>
        <w:t>（更正/变更）通知</w:t>
      </w:r>
      <w:r>
        <w:rPr>
          <w:rFonts w:hint="eastAsia" w:ascii="宋体" w:hAnsi="宋体" w:cs="宋体"/>
          <w:bCs/>
          <w:color w:val="auto"/>
          <w:szCs w:val="21"/>
          <w:highlight w:val="none"/>
        </w:rPr>
        <w:t>已办理报名并成功购买招标文件</w:t>
      </w:r>
      <w:r>
        <w:rPr>
          <w:rFonts w:hint="eastAsia" w:ascii="宋体" w:hAnsi="宋体" w:cs="宋体"/>
          <w:color w:val="auto"/>
          <w:szCs w:val="21"/>
          <w:highlight w:val="none"/>
        </w:rPr>
        <w:t>的供应商，其供应商在收到澄清或修改（更正/变更）后应按要求以书面形式（传真或电子邮件）予以确认。</w:t>
      </w:r>
      <w:r>
        <w:rPr>
          <w:rFonts w:hint="eastAsia" w:ascii="宋体" w:hAnsi="宋体" w:cs="宋体"/>
          <w:color w:val="auto"/>
          <w:szCs w:val="21"/>
          <w:highlight w:val="none"/>
          <w:lang w:eastAsia="zh-TW"/>
        </w:rPr>
        <w:t>如在24小时之内无书面</w:t>
      </w:r>
      <w:r>
        <w:rPr>
          <w:rFonts w:hint="eastAsia" w:ascii="宋体" w:hAnsi="宋体" w:cs="宋体"/>
          <w:color w:val="auto"/>
          <w:szCs w:val="21"/>
          <w:highlight w:val="none"/>
        </w:rPr>
        <w:t>确认</w:t>
      </w:r>
      <w:r>
        <w:rPr>
          <w:rFonts w:hint="eastAsia" w:ascii="宋体" w:hAnsi="宋体" w:cs="宋体"/>
          <w:color w:val="auto"/>
          <w:szCs w:val="21"/>
          <w:highlight w:val="none"/>
          <w:lang w:eastAsia="zh-TW"/>
        </w:rPr>
        <w:t>则视为同意修改内容，并有责任履行相应的义务。</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采购人或者采购代理机构</w:t>
      </w:r>
      <w:r>
        <w:rPr>
          <w:rFonts w:hint="eastAsia" w:ascii="宋体" w:hAnsi="宋体" w:cs="宋体"/>
          <w:color w:val="auto"/>
          <w:szCs w:val="21"/>
          <w:highlight w:val="none"/>
        </w:rPr>
        <w:t>发出的澄清或修改（更正/变更）的内容为招标文件的组成部分，</w:t>
      </w:r>
      <w:r>
        <w:rPr>
          <w:rFonts w:hint="eastAsia" w:ascii="宋体" w:hAnsi="宋体" w:cs="宋体"/>
          <w:color w:val="auto"/>
          <w:szCs w:val="21"/>
          <w:highlight w:val="none"/>
          <w:lang w:eastAsia="zh-TW"/>
        </w:rPr>
        <w:t>并对供应商具有约束力</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投标人在规定的时间内未对招标文件澄清或提出疑问的，政府采购代理机构将视其为无异议。</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对招标文件中描述有歧意或前后不一致的地方，评标委员会有权进行评判，但对同一条款的评判应适用于每个投标人。</w:t>
      </w:r>
    </w:p>
    <w:p>
      <w:pPr>
        <w:numPr>
          <w:ilvl w:val="0"/>
          <w:numId w:val="67"/>
        </w:numPr>
        <w:autoSpaceDE w:val="0"/>
        <w:autoSpaceDN w:val="0"/>
        <w:adjustRightInd w:val="0"/>
        <w:snapToGrid w:val="0"/>
        <w:spacing w:line="360" w:lineRule="auto"/>
        <w:ind w:left="449" w:hanging="449" w:hangingChars="213"/>
        <w:outlineLvl w:val="2"/>
        <w:rPr>
          <w:rFonts w:ascii="宋体" w:hAnsi="宋体" w:cs="宋体"/>
          <w:color w:val="auto"/>
          <w:szCs w:val="21"/>
          <w:highlight w:val="none"/>
        </w:rPr>
      </w:pPr>
      <w:bookmarkStart w:id="339" w:name="_Toc30202"/>
      <w:bookmarkStart w:id="340" w:name="_Toc520812031"/>
      <w:bookmarkStart w:id="341" w:name="_Toc17760"/>
      <w:bookmarkStart w:id="342" w:name="_Toc17389"/>
      <w:r>
        <w:rPr>
          <w:rFonts w:hint="eastAsia" w:ascii="宋体" w:hAnsi="宋体" w:cs="宋体"/>
          <w:b/>
          <w:bCs/>
          <w:color w:val="auto"/>
          <w:szCs w:val="21"/>
          <w:highlight w:val="none"/>
        </w:rPr>
        <w:t>现场考察或者召开开标前答疑会</w:t>
      </w:r>
      <w:bookmarkEnd w:id="339"/>
      <w:bookmarkEnd w:id="340"/>
      <w:bookmarkEnd w:id="341"/>
      <w:bookmarkEnd w:id="342"/>
    </w:p>
    <w:p>
      <w:pPr>
        <w:numPr>
          <w:ilvl w:val="1"/>
          <w:numId w:val="67"/>
        </w:numPr>
        <w:tabs>
          <w:tab w:val="left" w:pos="840"/>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除非</w:t>
      </w:r>
      <w:r>
        <w:rPr>
          <w:rFonts w:hint="eastAsia" w:ascii="宋体" w:hAnsi="宋体" w:cs="宋体"/>
          <w:b/>
          <w:color w:val="auto"/>
          <w:szCs w:val="21"/>
          <w:highlight w:val="none"/>
        </w:rPr>
        <w:t>投标资料表</w:t>
      </w:r>
      <w:r>
        <w:rPr>
          <w:rFonts w:hint="eastAsia" w:ascii="宋体" w:hAnsi="宋体" w:cs="宋体"/>
          <w:color w:val="auto"/>
          <w:szCs w:val="21"/>
          <w:highlight w:val="none"/>
        </w:rPr>
        <w:t>中另有规定，不举行项目</w:t>
      </w:r>
      <w:r>
        <w:rPr>
          <w:rFonts w:hint="eastAsia" w:ascii="宋体" w:hAnsi="宋体" w:cs="宋体"/>
          <w:bCs/>
          <w:color w:val="auto"/>
          <w:szCs w:val="21"/>
          <w:highlight w:val="none"/>
        </w:rPr>
        <w:t>现场考察或者召开开标前答疑会</w:t>
      </w:r>
      <w:r>
        <w:rPr>
          <w:rFonts w:hint="eastAsia" w:ascii="宋体" w:hAnsi="宋体" w:cs="宋体"/>
          <w:color w:val="auto"/>
          <w:szCs w:val="21"/>
          <w:highlight w:val="none"/>
        </w:rPr>
        <w:t>，如举行</w:t>
      </w:r>
      <w:r>
        <w:rPr>
          <w:rFonts w:hint="eastAsia" w:ascii="宋体" w:hAnsi="宋体" w:cs="宋体"/>
          <w:bCs/>
          <w:color w:val="auto"/>
          <w:szCs w:val="21"/>
          <w:highlight w:val="none"/>
        </w:rPr>
        <w:t>现场考察或者召开开标前答疑会</w:t>
      </w:r>
      <w:r>
        <w:rPr>
          <w:rFonts w:hint="eastAsia" w:ascii="宋体" w:hAnsi="宋体" w:cs="宋体"/>
          <w:color w:val="auto"/>
          <w:szCs w:val="21"/>
          <w:highlight w:val="none"/>
        </w:rPr>
        <w:t>的，则按以下规定：</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在</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rPr>
        <w:t>中规定的日期、时间和地点组织</w:t>
      </w:r>
      <w:r>
        <w:rPr>
          <w:rFonts w:hint="eastAsia" w:ascii="宋体" w:hAnsi="宋体" w:cs="宋体"/>
          <w:bCs/>
          <w:color w:val="auto"/>
          <w:szCs w:val="21"/>
          <w:highlight w:val="none"/>
        </w:rPr>
        <w:t>现场考察或者召开开标前答疑会</w:t>
      </w:r>
      <w:r>
        <w:rPr>
          <w:rFonts w:hint="eastAsia" w:ascii="宋体" w:hAnsi="宋体" w:cs="宋体"/>
          <w:color w:val="auto"/>
          <w:szCs w:val="21"/>
          <w:highlight w:val="none"/>
        </w:rPr>
        <w:t>；</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rPr>
        <w:t>供应商</w:t>
      </w:r>
      <w:r>
        <w:rPr>
          <w:rFonts w:hint="eastAsia" w:ascii="宋体" w:hAnsi="宋体" w:cs="宋体"/>
          <w:color w:val="auto"/>
          <w:szCs w:val="21"/>
          <w:highlight w:val="none"/>
          <w:lang w:eastAsia="zh-TW"/>
        </w:rPr>
        <w:t>对本项目提出的疑问，</w:t>
      </w:r>
      <w:r>
        <w:rPr>
          <w:rFonts w:hint="eastAsia" w:ascii="宋体" w:hAnsi="宋体" w:cs="宋体"/>
          <w:color w:val="auto"/>
          <w:szCs w:val="21"/>
          <w:highlight w:val="none"/>
        </w:rPr>
        <w:t>可</w:t>
      </w:r>
      <w:r>
        <w:rPr>
          <w:rFonts w:hint="eastAsia" w:ascii="宋体" w:hAnsi="宋体" w:cs="宋体"/>
          <w:color w:val="auto"/>
          <w:szCs w:val="21"/>
          <w:highlight w:val="none"/>
          <w:lang w:eastAsia="zh-TW"/>
        </w:rPr>
        <w:t>在</w:t>
      </w:r>
      <w:r>
        <w:rPr>
          <w:rFonts w:hint="eastAsia" w:ascii="宋体" w:hAnsi="宋体" w:cs="宋体"/>
          <w:bCs/>
          <w:color w:val="auto"/>
          <w:szCs w:val="21"/>
          <w:highlight w:val="none"/>
        </w:rPr>
        <w:t>现场考察或者召开开标前答疑会</w:t>
      </w:r>
      <w:r>
        <w:rPr>
          <w:rFonts w:hint="eastAsia" w:ascii="宋体" w:hAnsi="宋体" w:cs="宋体"/>
          <w:color w:val="auto"/>
          <w:szCs w:val="21"/>
          <w:highlight w:val="none"/>
          <w:lang w:eastAsia="zh-TW"/>
        </w:rPr>
        <w:t>召开日前至少一个工作日将问题清单以书面形式（加盖公章）提交至采购代理机构。</w:t>
      </w:r>
    </w:p>
    <w:p>
      <w:pPr>
        <w:numPr>
          <w:ilvl w:val="1"/>
          <w:numId w:val="67"/>
        </w:numPr>
        <w:tabs>
          <w:tab w:val="left" w:pos="840"/>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已办理报名并成功购买招标文件的供应商如不出席</w:t>
      </w:r>
      <w:r>
        <w:rPr>
          <w:rFonts w:hint="eastAsia" w:ascii="宋体" w:hAnsi="宋体" w:cs="宋体"/>
          <w:bCs/>
          <w:color w:val="auto"/>
          <w:szCs w:val="21"/>
          <w:highlight w:val="none"/>
        </w:rPr>
        <w:t>现场考察或者召开开标前答疑会</w:t>
      </w:r>
      <w:r>
        <w:rPr>
          <w:rFonts w:hint="eastAsia" w:ascii="宋体" w:hAnsi="宋体" w:cs="宋体"/>
          <w:color w:val="auto"/>
          <w:szCs w:val="21"/>
          <w:highlight w:val="none"/>
          <w:lang w:eastAsia="zh-TW"/>
        </w:rPr>
        <w:t>视为对招标文件所有内容无任何异议。</w:t>
      </w:r>
    </w:p>
    <w:p>
      <w:pPr>
        <w:numPr>
          <w:ilvl w:val="0"/>
          <w:numId w:val="66"/>
        </w:numPr>
        <w:autoSpaceDE w:val="0"/>
        <w:autoSpaceDN w:val="0"/>
        <w:adjustRightInd w:val="0"/>
        <w:snapToGrid w:val="0"/>
        <w:spacing w:beforeLines="100" w:afterLines="100" w:line="360" w:lineRule="auto"/>
        <w:ind w:left="1012" w:hanging="1012" w:hangingChars="360"/>
        <w:jc w:val="center"/>
        <w:outlineLvl w:val="1"/>
        <w:rPr>
          <w:rFonts w:ascii="宋体" w:hAnsi="宋体" w:cs="宋体"/>
          <w:b/>
          <w:color w:val="auto"/>
          <w:sz w:val="28"/>
          <w:szCs w:val="28"/>
          <w:highlight w:val="none"/>
          <w:lang w:eastAsia="zh-TW"/>
        </w:rPr>
      </w:pPr>
      <w:bookmarkStart w:id="343" w:name="_Toc2907"/>
      <w:bookmarkStart w:id="344" w:name="_Toc520812032"/>
      <w:bookmarkStart w:id="345" w:name="_Toc438223138"/>
      <w:bookmarkStart w:id="346" w:name="_Toc435516652"/>
      <w:bookmarkStart w:id="347" w:name="_Toc435174935"/>
      <w:bookmarkStart w:id="348" w:name="_Toc23667"/>
      <w:bookmarkStart w:id="349" w:name="_Toc28047"/>
      <w:r>
        <w:rPr>
          <w:rFonts w:hint="eastAsia" w:ascii="宋体" w:hAnsi="宋体" w:cs="宋体"/>
          <w:b/>
          <w:color w:val="auto"/>
          <w:sz w:val="28"/>
          <w:szCs w:val="28"/>
          <w:highlight w:val="none"/>
          <w:lang w:eastAsia="zh-TW"/>
        </w:rPr>
        <w:t>投标文件的编制</w:t>
      </w:r>
      <w:bookmarkEnd w:id="343"/>
      <w:bookmarkEnd w:id="344"/>
      <w:bookmarkEnd w:id="345"/>
      <w:bookmarkEnd w:id="346"/>
      <w:bookmarkEnd w:id="347"/>
      <w:bookmarkEnd w:id="348"/>
      <w:bookmarkEnd w:id="349"/>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50" w:name="_Toc13503"/>
      <w:bookmarkStart w:id="351" w:name="_Toc15055"/>
      <w:bookmarkStart w:id="352" w:name="_Toc520812033"/>
      <w:bookmarkStart w:id="353" w:name="_Toc13020"/>
      <w:r>
        <w:rPr>
          <w:rFonts w:hint="eastAsia" w:ascii="宋体" w:hAnsi="宋体" w:cs="宋体"/>
          <w:b/>
          <w:bCs/>
          <w:color w:val="auto"/>
          <w:szCs w:val="21"/>
          <w:highlight w:val="none"/>
        </w:rPr>
        <w:t>投标的语言</w:t>
      </w:r>
      <w:bookmarkEnd w:id="350"/>
      <w:bookmarkEnd w:id="351"/>
      <w:bookmarkEnd w:id="352"/>
      <w:bookmarkEnd w:id="353"/>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投标人提交的投标文件以及投标人与采购人或者采购代理机构就有关投标的所有来往函电均应使用中文书写</w:t>
      </w:r>
      <w:r>
        <w:rPr>
          <w:rFonts w:hint="eastAsia" w:ascii="宋体" w:hAnsi="宋体" w:cs="宋体"/>
          <w:color w:val="auto"/>
          <w:szCs w:val="21"/>
          <w:highlight w:val="none"/>
        </w:rPr>
        <w:t>。投</w:t>
      </w:r>
      <w:r>
        <w:rPr>
          <w:rFonts w:hint="eastAsia" w:ascii="宋体" w:hAnsi="宋体" w:cs="宋体"/>
          <w:color w:val="auto"/>
          <w:szCs w:val="21"/>
          <w:highlight w:val="none"/>
          <w:lang w:eastAsia="zh-TW"/>
        </w:rPr>
        <w:t>标人提交的支持文件或印刷的资料可以用另一种语言</w:t>
      </w:r>
      <w:r>
        <w:rPr>
          <w:rFonts w:hint="eastAsia" w:ascii="宋体" w:hAnsi="宋体" w:cs="宋体"/>
          <w:color w:val="auto"/>
          <w:szCs w:val="21"/>
          <w:highlight w:val="none"/>
        </w:rPr>
        <w:t>，</w:t>
      </w:r>
      <w:r>
        <w:rPr>
          <w:rFonts w:hint="eastAsia" w:ascii="宋体" w:hAnsi="宋体" w:cs="宋体"/>
          <w:color w:val="auto"/>
          <w:szCs w:val="21"/>
          <w:highlight w:val="none"/>
          <w:lang w:eastAsia="zh-TW"/>
        </w:rPr>
        <w:t>但相应内容应附有中文翻译本</w:t>
      </w:r>
      <w:r>
        <w:rPr>
          <w:rFonts w:hint="eastAsia" w:ascii="宋体" w:hAnsi="宋体" w:cs="宋体"/>
          <w:color w:val="auto"/>
          <w:szCs w:val="21"/>
          <w:highlight w:val="none"/>
        </w:rPr>
        <w:t>，</w:t>
      </w:r>
      <w:r>
        <w:rPr>
          <w:rFonts w:hint="eastAsia" w:ascii="宋体" w:hAnsi="宋体" w:cs="宋体"/>
          <w:color w:val="auto"/>
          <w:highlight w:val="none"/>
        </w:rPr>
        <w:t>两种语言不一致时以中文翻译本为准。对中文翻译有异议的，以权威机构的译本为准。</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54" w:name="_Toc30879"/>
      <w:bookmarkStart w:id="355" w:name="_Toc30161"/>
      <w:bookmarkStart w:id="356" w:name="_Toc8565"/>
      <w:bookmarkStart w:id="357" w:name="_Toc520812034"/>
      <w:r>
        <w:rPr>
          <w:rFonts w:hint="eastAsia" w:ascii="宋体" w:hAnsi="宋体" w:cs="宋体"/>
          <w:b/>
          <w:bCs/>
          <w:color w:val="auto"/>
          <w:szCs w:val="21"/>
          <w:highlight w:val="none"/>
        </w:rPr>
        <w:t>投标文件的构成</w:t>
      </w:r>
      <w:bookmarkEnd w:id="354"/>
      <w:bookmarkEnd w:id="355"/>
      <w:bookmarkEnd w:id="356"/>
      <w:bookmarkEnd w:id="357"/>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rPr>
        <w:t>投标人应当按照招标文件的要求编制投标文件。投标文件应当对招标文件提出的要求和条件作出明确响应。</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投标文件的构成应符合法律法规及招标文件的要求。</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58" w:name="_Toc520812035"/>
      <w:bookmarkStart w:id="359" w:name="_Toc16374"/>
      <w:bookmarkStart w:id="360" w:name="_Toc10487"/>
      <w:bookmarkStart w:id="361" w:name="_Toc22769"/>
      <w:r>
        <w:rPr>
          <w:rFonts w:hint="eastAsia" w:ascii="宋体" w:hAnsi="宋体" w:cs="宋体"/>
          <w:b/>
          <w:bCs/>
          <w:color w:val="auto"/>
          <w:szCs w:val="21"/>
          <w:highlight w:val="none"/>
        </w:rPr>
        <w:t>投标文件的编写</w:t>
      </w:r>
      <w:bookmarkEnd w:id="358"/>
      <w:bookmarkEnd w:id="359"/>
      <w:bookmarkEnd w:id="360"/>
      <w:bookmarkEnd w:id="361"/>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对招标文件中多个包组进行投标的，其投标文件的编制可以按每个包组的要求分别装订。投标人应当对投标文件进行装订成册，对未经装订的投标文件可能发生的文件散落或缺损，由此造成的后果和责任由投标人承担。</w:t>
      </w:r>
    </w:p>
    <w:p>
      <w:pPr>
        <w:numPr>
          <w:ilvl w:val="1"/>
          <w:numId w:val="67"/>
        </w:numPr>
        <w:tabs>
          <w:tab w:val="left" w:pos="709"/>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投标人必须对投标文件所提供的全部资料的真实性承担法律责任，并无条件接受采购人或者采购代理机构或者</w:t>
      </w:r>
      <w:r>
        <w:rPr>
          <w:rFonts w:hint="eastAsia" w:ascii="宋体" w:hAnsi="宋体" w:cs="宋体"/>
          <w:color w:val="auto"/>
          <w:szCs w:val="21"/>
          <w:highlight w:val="none"/>
        </w:rPr>
        <w:t>监督管理部门</w:t>
      </w:r>
      <w:r>
        <w:rPr>
          <w:rFonts w:hint="eastAsia" w:ascii="宋体" w:hAnsi="宋体" w:cs="宋体"/>
          <w:color w:val="auto"/>
          <w:szCs w:val="21"/>
          <w:highlight w:val="none"/>
          <w:lang w:eastAsia="zh-TW"/>
        </w:rPr>
        <w:t>对其中任何资料进行核实的要求。</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如果因为投标人</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投标文件只填写和提供了本</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文件要求的部分内容和附件，或没有提供招标文件中所要求的资料及数据，由此造成的后果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投标人应认真阅读、并充分理解招标文件的全部内容（包括所有的补充、修改内容重要事项、格式、条款和技术规范、参数及要求等）。投标人没有按照招标文件要求提交资料，或者投标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没有对招标文件在各方面都</w:t>
      </w:r>
      <w:r>
        <w:rPr>
          <w:rFonts w:hint="eastAsia" w:ascii="宋体" w:hAnsi="宋体" w:cs="宋体"/>
          <w:color w:val="auto"/>
          <w:szCs w:val="21"/>
          <w:highlight w:val="none"/>
        </w:rPr>
        <w:t>作</w:t>
      </w:r>
      <w:r>
        <w:rPr>
          <w:rFonts w:hint="eastAsia" w:ascii="宋体" w:hAnsi="宋体" w:cs="宋体"/>
          <w:color w:val="auto"/>
          <w:szCs w:val="21"/>
          <w:highlight w:val="none"/>
          <w:lang w:eastAsia="zh-TW"/>
        </w:rPr>
        <w:t>出实质性响应是投标人的风险，有可能导致其投标被认定为无效投标或被确定为投标无效。</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62" w:name="_Toc1466"/>
      <w:bookmarkStart w:id="363" w:name="_Toc24113"/>
      <w:bookmarkStart w:id="364" w:name="_Toc520812036"/>
      <w:bookmarkStart w:id="365" w:name="_Toc12248"/>
      <w:r>
        <w:rPr>
          <w:rFonts w:hint="eastAsia" w:ascii="宋体" w:hAnsi="宋体" w:cs="宋体"/>
          <w:b/>
          <w:bCs/>
          <w:color w:val="auto"/>
          <w:szCs w:val="21"/>
          <w:highlight w:val="none"/>
        </w:rPr>
        <w:t>投标报价</w:t>
      </w:r>
      <w:bookmarkEnd w:id="362"/>
      <w:bookmarkEnd w:id="363"/>
      <w:bookmarkEnd w:id="364"/>
      <w:bookmarkEnd w:id="365"/>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投标人应按照“用户需求书”</w:t>
      </w:r>
      <w:r>
        <w:rPr>
          <w:rFonts w:hint="eastAsia" w:ascii="宋体" w:hAnsi="宋体" w:cs="宋体"/>
          <w:color w:val="auto"/>
          <w:szCs w:val="21"/>
          <w:highlight w:val="none"/>
        </w:rPr>
        <w:t>中</w:t>
      </w:r>
      <w:r>
        <w:rPr>
          <w:rFonts w:hint="eastAsia" w:ascii="宋体" w:hAnsi="宋体" w:cs="宋体"/>
          <w:color w:val="auto"/>
          <w:szCs w:val="21"/>
          <w:highlight w:val="none"/>
          <w:lang w:eastAsia="zh-TW"/>
        </w:rPr>
        <w:t>采购项目技术规格、参数及要求规定的内容、责任范围进行报价。并按《</w:t>
      </w:r>
      <w:r>
        <w:rPr>
          <w:rFonts w:hint="eastAsia" w:ascii="宋体" w:hAnsi="宋体" w:cs="宋体"/>
          <w:color w:val="auto"/>
          <w:szCs w:val="21"/>
          <w:highlight w:val="none"/>
        </w:rPr>
        <w:t>开标一览表(报价表)</w:t>
      </w:r>
      <w:r>
        <w:rPr>
          <w:rFonts w:hint="eastAsia" w:ascii="宋体" w:hAnsi="宋体" w:cs="宋体"/>
          <w:color w:val="auto"/>
          <w:szCs w:val="21"/>
          <w:highlight w:val="none"/>
          <w:lang w:eastAsia="zh-TW"/>
        </w:rPr>
        <w:t>》</w:t>
      </w:r>
      <w:r>
        <w:rPr>
          <w:rFonts w:hint="eastAsia" w:ascii="宋体" w:hAnsi="宋体" w:cs="宋体"/>
          <w:color w:val="auto"/>
          <w:szCs w:val="21"/>
          <w:highlight w:val="none"/>
        </w:rPr>
        <w:t>及</w:t>
      </w:r>
      <w:r>
        <w:rPr>
          <w:rFonts w:hint="eastAsia" w:ascii="宋体" w:hAnsi="宋体" w:cs="宋体"/>
          <w:color w:val="auto"/>
          <w:szCs w:val="21"/>
          <w:highlight w:val="none"/>
          <w:lang w:eastAsia="zh-TW"/>
        </w:rPr>
        <w:t>《投标分项报价表》（如</w:t>
      </w:r>
      <w:r>
        <w:rPr>
          <w:rFonts w:hint="eastAsia" w:ascii="宋体" w:hAnsi="宋体" w:cs="宋体"/>
          <w:color w:val="auto"/>
          <w:szCs w:val="21"/>
          <w:highlight w:val="none"/>
        </w:rPr>
        <w:t>有</w:t>
      </w:r>
      <w:r>
        <w:rPr>
          <w:rFonts w:hint="eastAsia" w:ascii="宋体" w:hAnsi="宋体" w:cs="宋体"/>
          <w:color w:val="auto"/>
          <w:szCs w:val="21"/>
          <w:highlight w:val="none"/>
          <w:lang w:eastAsia="zh-TW"/>
        </w:rPr>
        <w:t>）的</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lang w:eastAsia="zh-TW"/>
        </w:rPr>
        <w:t>。投标</w:t>
      </w:r>
      <w:r>
        <w:rPr>
          <w:rFonts w:hint="eastAsia" w:ascii="宋体" w:hAnsi="宋体" w:cs="宋体"/>
          <w:color w:val="auto"/>
          <w:szCs w:val="21"/>
          <w:highlight w:val="none"/>
          <w:lang w:val="en-US" w:eastAsia="zh-CN"/>
        </w:rPr>
        <w:t>报</w:t>
      </w:r>
      <w:r>
        <w:rPr>
          <w:rFonts w:hint="eastAsia" w:ascii="宋体" w:hAnsi="宋体" w:cs="宋体"/>
          <w:color w:val="auto"/>
          <w:szCs w:val="21"/>
          <w:highlight w:val="none"/>
          <w:lang w:eastAsia="zh-TW"/>
        </w:rPr>
        <w:t>价中不得包含招标文件要求以外的内容，否则，在评标时不予核减。投标</w:t>
      </w:r>
      <w:r>
        <w:rPr>
          <w:rFonts w:hint="eastAsia" w:ascii="宋体" w:hAnsi="宋体" w:cs="宋体"/>
          <w:color w:val="auto"/>
          <w:szCs w:val="21"/>
          <w:highlight w:val="none"/>
          <w:lang w:val="en-US" w:eastAsia="zh-CN"/>
        </w:rPr>
        <w:t>报</w:t>
      </w:r>
      <w:r>
        <w:rPr>
          <w:rFonts w:hint="eastAsia" w:ascii="宋体" w:hAnsi="宋体" w:cs="宋体"/>
          <w:color w:val="auto"/>
          <w:szCs w:val="21"/>
          <w:highlight w:val="none"/>
          <w:lang w:eastAsia="zh-TW"/>
        </w:rPr>
        <w:t>价中也不得出现重大缺漏招标文件所要求的内容，否则，其投标将可能被视为无效投标或确定为投标无效。</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投标人按招标文件的要求报出全部服务内容所需的所有费用，在合同履行过程中，采购人不再支付除合同金额以外的费用。</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投标分项报价</w:t>
      </w:r>
      <w:r>
        <w:rPr>
          <w:rFonts w:hint="eastAsia" w:ascii="宋体" w:hAnsi="宋体" w:cs="宋体"/>
          <w:color w:val="auto"/>
          <w:szCs w:val="21"/>
          <w:highlight w:val="none"/>
        </w:rPr>
        <w:t>应包含：</w:t>
      </w:r>
    </w:p>
    <w:p>
      <w:pPr>
        <w:numPr>
          <w:ilvl w:val="2"/>
          <w:numId w:val="67"/>
        </w:numPr>
        <w:tabs>
          <w:tab w:val="left" w:pos="851"/>
          <w:tab w:val="clear" w:pos="567"/>
        </w:tabs>
        <w:autoSpaceDE w:val="0"/>
        <w:autoSpaceDN w:val="0"/>
        <w:adjustRightInd w:val="0"/>
        <w:snapToGrid w:val="0"/>
        <w:spacing w:line="360" w:lineRule="auto"/>
        <w:ind w:left="851" w:hanging="851"/>
        <w:jc w:val="left"/>
        <w:rPr>
          <w:rFonts w:ascii="宋体" w:hAnsi="宋体" w:cs="宋体"/>
          <w:color w:val="auto"/>
          <w:szCs w:val="21"/>
          <w:highlight w:val="none"/>
          <w:lang w:eastAsia="zh-TW"/>
        </w:rPr>
      </w:pPr>
      <w:r>
        <w:rPr>
          <w:rFonts w:hint="eastAsia" w:ascii="宋体" w:hAnsi="宋体" w:cs="宋体"/>
          <w:color w:val="auto"/>
          <w:szCs w:val="21"/>
          <w:highlight w:val="none"/>
        </w:rPr>
        <w:t>按招标文件的要求全部服务内容所需的所有费用，包括但不限于投标资料表中规定的。</w:t>
      </w:r>
    </w:p>
    <w:p>
      <w:pPr>
        <w:numPr>
          <w:ilvl w:val="2"/>
          <w:numId w:val="67"/>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对于报价免费的</w:t>
      </w:r>
      <w:r>
        <w:rPr>
          <w:rFonts w:hint="eastAsia" w:ascii="宋体" w:hAnsi="宋体" w:cs="宋体"/>
          <w:color w:val="auto"/>
          <w:szCs w:val="21"/>
          <w:highlight w:val="none"/>
        </w:rPr>
        <w:t>内容</w:t>
      </w:r>
      <w:r>
        <w:rPr>
          <w:rFonts w:hint="eastAsia" w:ascii="宋体" w:hAnsi="宋体" w:cs="宋体"/>
          <w:color w:val="auto"/>
          <w:szCs w:val="21"/>
          <w:highlight w:val="none"/>
          <w:lang w:eastAsia="zh-TW"/>
        </w:rPr>
        <w:t>须标明“免费”</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除</w:t>
      </w:r>
      <w:r>
        <w:rPr>
          <w:rFonts w:hint="eastAsia" w:ascii="宋体" w:hAnsi="宋体" w:cs="宋体"/>
          <w:b/>
          <w:color w:val="auto"/>
          <w:szCs w:val="21"/>
          <w:highlight w:val="none"/>
        </w:rPr>
        <w:t>投标资料表</w:t>
      </w:r>
      <w:r>
        <w:rPr>
          <w:rFonts w:hint="eastAsia" w:ascii="宋体" w:hAnsi="宋体" w:cs="宋体"/>
          <w:color w:val="auto"/>
          <w:szCs w:val="21"/>
          <w:highlight w:val="none"/>
        </w:rPr>
        <w:t>中另有规定，</w:t>
      </w:r>
      <w:r>
        <w:rPr>
          <w:rFonts w:hint="eastAsia" w:ascii="宋体" w:hAnsi="宋体" w:cs="宋体"/>
          <w:color w:val="auto"/>
          <w:szCs w:val="21"/>
          <w:highlight w:val="none"/>
          <w:lang w:eastAsia="zh-TW"/>
        </w:rPr>
        <w:t>投标人所报的投标价在合同执行过程中是固定不变的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不得以任何理由予以变更。任何包含价格调整要求的投标被认为是非实质性响应投标而予以拒绝。</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除</w:t>
      </w:r>
      <w:r>
        <w:rPr>
          <w:rFonts w:hint="eastAsia" w:ascii="宋体" w:hAnsi="宋体" w:cs="宋体"/>
          <w:b/>
          <w:color w:val="auto"/>
          <w:szCs w:val="21"/>
          <w:highlight w:val="none"/>
        </w:rPr>
        <w:t>投标资料表</w:t>
      </w:r>
      <w:r>
        <w:rPr>
          <w:rFonts w:hint="eastAsia" w:ascii="宋体" w:hAnsi="宋体" w:cs="宋体"/>
          <w:color w:val="auto"/>
          <w:szCs w:val="21"/>
          <w:highlight w:val="none"/>
        </w:rPr>
        <w:t>中允许有备选方案外，本次招标不接受选择性报价，否则将被视为无效投标。</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rPr>
        <w:t>除</w:t>
      </w:r>
      <w:r>
        <w:rPr>
          <w:rFonts w:hint="eastAsia" w:ascii="宋体" w:hAnsi="宋体" w:cs="宋体"/>
          <w:b/>
          <w:color w:val="auto"/>
          <w:szCs w:val="21"/>
          <w:highlight w:val="none"/>
        </w:rPr>
        <w:t>投标资料表</w:t>
      </w:r>
      <w:r>
        <w:rPr>
          <w:rFonts w:hint="eastAsia" w:ascii="宋体" w:hAnsi="宋体" w:cs="宋体"/>
          <w:color w:val="auto"/>
          <w:szCs w:val="21"/>
          <w:highlight w:val="none"/>
        </w:rPr>
        <w:t>另有规定外，本次招标不接受具有附加条件的报价，否则将被视为无效投标。</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66" w:name="_Toc32053"/>
      <w:bookmarkStart w:id="367" w:name="_Toc23932"/>
      <w:bookmarkStart w:id="368" w:name="_Toc18118"/>
      <w:bookmarkStart w:id="369" w:name="_Toc520812037"/>
      <w:r>
        <w:rPr>
          <w:rFonts w:hint="eastAsia" w:ascii="宋体" w:hAnsi="宋体" w:cs="宋体"/>
          <w:b/>
          <w:bCs/>
          <w:color w:val="auto"/>
          <w:szCs w:val="21"/>
          <w:highlight w:val="none"/>
        </w:rPr>
        <w:t>投标货币</w:t>
      </w:r>
      <w:bookmarkEnd w:id="366"/>
      <w:bookmarkEnd w:id="367"/>
      <w:bookmarkEnd w:id="368"/>
      <w:bookmarkEnd w:id="369"/>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投标人所提供的货物和服务均应以人民币报价。</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70" w:name="_Toc520812038"/>
      <w:bookmarkStart w:id="371" w:name="_Toc15941"/>
      <w:bookmarkStart w:id="372" w:name="_Toc12219"/>
      <w:bookmarkStart w:id="373" w:name="_Toc4045"/>
      <w:r>
        <w:rPr>
          <w:rFonts w:hint="eastAsia" w:ascii="宋体" w:hAnsi="宋体" w:cs="宋体"/>
          <w:b/>
          <w:bCs/>
          <w:color w:val="auto"/>
          <w:szCs w:val="21"/>
          <w:highlight w:val="none"/>
        </w:rPr>
        <w:t>联合体投标</w:t>
      </w:r>
      <w:bookmarkEnd w:id="370"/>
      <w:bookmarkEnd w:id="371"/>
      <w:bookmarkEnd w:id="372"/>
      <w:bookmarkEnd w:id="373"/>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除非</w:t>
      </w:r>
      <w:r>
        <w:rPr>
          <w:rFonts w:hint="eastAsia" w:ascii="宋体" w:hAnsi="宋体" w:cs="宋体"/>
          <w:b/>
          <w:color w:val="auto"/>
          <w:szCs w:val="21"/>
          <w:highlight w:val="none"/>
        </w:rPr>
        <w:t>投标邀请</w:t>
      </w:r>
      <w:r>
        <w:rPr>
          <w:rFonts w:hint="eastAsia" w:ascii="宋体" w:hAnsi="宋体" w:cs="宋体"/>
          <w:color w:val="auto"/>
          <w:szCs w:val="21"/>
          <w:highlight w:val="none"/>
        </w:rPr>
        <w:t>中另有规定，不接受联合体投标。如果投标邀请中规定允许联合体投标的，则必须满足：</w:t>
      </w:r>
    </w:p>
    <w:p>
      <w:pPr>
        <w:numPr>
          <w:ilvl w:val="2"/>
          <w:numId w:val="67"/>
        </w:numPr>
        <w:autoSpaceDE w:val="0"/>
        <w:autoSpaceDN w:val="0"/>
        <w:adjustRightInd w:val="0"/>
        <w:snapToGrid w:val="0"/>
        <w:spacing w:line="360" w:lineRule="auto"/>
        <w:ind w:left="868" w:hanging="868"/>
        <w:rPr>
          <w:rFonts w:ascii="宋体" w:hAnsi="宋体" w:cs="宋体"/>
          <w:color w:val="auto"/>
          <w:szCs w:val="21"/>
          <w:highlight w:val="none"/>
        </w:rPr>
      </w:pPr>
      <w:r>
        <w:rPr>
          <w:rFonts w:hint="eastAsia" w:ascii="宋体" w:hAnsi="宋体" w:cs="宋体"/>
          <w:color w:val="auto"/>
          <w:szCs w:val="21"/>
          <w:highlight w:val="none"/>
        </w:rPr>
        <w:t>以联合体形式参加投标的，联合体各方均必须符合</w:t>
      </w:r>
      <w:r>
        <w:rPr>
          <w:rFonts w:hint="eastAsia" w:ascii="宋体" w:hAnsi="宋体" w:cs="宋体"/>
          <w:bCs/>
          <w:color w:val="auto"/>
          <w:szCs w:val="20"/>
          <w:highlight w:val="none"/>
        </w:rPr>
        <w:t>《中华人民共和国政府采购法》第二十二条第（一）至（六）项规定。</w:t>
      </w:r>
    </w:p>
    <w:p>
      <w:pPr>
        <w:numPr>
          <w:ilvl w:val="2"/>
          <w:numId w:val="67"/>
        </w:numPr>
        <w:autoSpaceDE w:val="0"/>
        <w:autoSpaceDN w:val="0"/>
        <w:adjustRightInd w:val="0"/>
        <w:snapToGrid w:val="0"/>
        <w:spacing w:line="360" w:lineRule="auto"/>
        <w:ind w:left="868" w:hanging="868"/>
        <w:rPr>
          <w:rFonts w:ascii="宋体" w:hAnsi="宋体" w:cs="宋体"/>
          <w:color w:val="auto"/>
          <w:szCs w:val="21"/>
          <w:highlight w:val="none"/>
        </w:rPr>
      </w:pPr>
      <w:r>
        <w:rPr>
          <w:rFonts w:hint="eastAsia" w:ascii="宋体" w:hAnsi="宋体" w:cs="宋体"/>
          <w:color w:val="auto"/>
          <w:szCs w:val="21"/>
          <w:highlight w:val="none"/>
        </w:rPr>
        <w:t>联合体投标的，必须提供各方签订的联合投标协议，明确约定各方承担的工作和相应的责任。联合体各方签订联合投标协议书，不得再以自己名义单独在同一项目（或包组）中投标，也不得组成新的联合体参加同一项目（或包组）投标。</w:t>
      </w:r>
    </w:p>
    <w:p>
      <w:pPr>
        <w:numPr>
          <w:ilvl w:val="2"/>
          <w:numId w:val="67"/>
        </w:numPr>
        <w:autoSpaceDE w:val="0"/>
        <w:autoSpaceDN w:val="0"/>
        <w:adjustRightInd w:val="0"/>
        <w:snapToGrid w:val="0"/>
        <w:spacing w:line="360" w:lineRule="auto"/>
        <w:ind w:left="868" w:hanging="868"/>
        <w:rPr>
          <w:rFonts w:ascii="宋体" w:hAnsi="宋体" w:cs="宋体"/>
          <w:color w:val="auto"/>
          <w:szCs w:val="21"/>
          <w:highlight w:val="none"/>
        </w:rPr>
      </w:pPr>
      <w:r>
        <w:rPr>
          <w:rFonts w:hint="eastAsia" w:ascii="宋体" w:hAnsi="宋体" w:cs="宋体"/>
          <w:color w:val="auto"/>
          <w:szCs w:val="21"/>
          <w:highlight w:val="none"/>
        </w:rPr>
        <w:t>联合体中有同类资质的供应商按照联合体分工承担相同工作的，应当按照资质等级较低的供应商确定资质等级。</w:t>
      </w:r>
    </w:p>
    <w:p>
      <w:pPr>
        <w:numPr>
          <w:ilvl w:val="2"/>
          <w:numId w:val="67"/>
        </w:numPr>
        <w:tabs>
          <w:tab w:val="left" w:pos="851"/>
        </w:tabs>
        <w:autoSpaceDE w:val="0"/>
        <w:autoSpaceDN w:val="0"/>
        <w:adjustRightInd w:val="0"/>
        <w:snapToGrid w:val="0"/>
        <w:spacing w:line="360" w:lineRule="auto"/>
        <w:ind w:left="868" w:hanging="868"/>
        <w:rPr>
          <w:rFonts w:ascii="宋体" w:hAnsi="宋体" w:cs="宋体"/>
          <w:color w:val="auto"/>
          <w:szCs w:val="21"/>
          <w:highlight w:val="none"/>
        </w:rPr>
      </w:pPr>
      <w:r>
        <w:rPr>
          <w:rFonts w:hint="eastAsia" w:ascii="宋体" w:hAnsi="宋体" w:cs="宋体"/>
          <w:color w:val="auto"/>
          <w:szCs w:val="21"/>
          <w:highlight w:val="none"/>
        </w:rPr>
        <w:t>联合体投标的，可以由联合体中的一方或者共同提交投标保证金，以一方名义提交投标保证金的，对联合体各方均具有约束力。</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联合体中标的，联合体各方应当共同与采购人签订合同。</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74" w:name="_Toc4331"/>
      <w:bookmarkStart w:id="375" w:name="_Toc1703"/>
      <w:bookmarkStart w:id="376" w:name="_Toc520812039"/>
      <w:bookmarkStart w:id="377" w:name="_Toc21035"/>
      <w:r>
        <w:rPr>
          <w:rFonts w:hint="eastAsia" w:ascii="宋体" w:hAnsi="宋体" w:cs="宋体"/>
          <w:b/>
          <w:bCs/>
          <w:color w:val="auto"/>
          <w:szCs w:val="21"/>
          <w:highlight w:val="none"/>
        </w:rPr>
        <w:t>证明投标人合格和资格的文件</w:t>
      </w:r>
      <w:bookmarkEnd w:id="374"/>
      <w:bookmarkEnd w:id="375"/>
      <w:bookmarkEnd w:id="376"/>
      <w:bookmarkEnd w:id="377"/>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投标人应提交证明其有资格参加投标和中标后有能力履行合同的文件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并作为其投标文件的一部分。如果投标人为联合体</w:t>
      </w:r>
      <w:r>
        <w:rPr>
          <w:rFonts w:hint="eastAsia" w:ascii="宋体" w:hAnsi="宋体" w:cs="宋体"/>
          <w:color w:val="auto"/>
          <w:szCs w:val="21"/>
          <w:highlight w:val="none"/>
        </w:rPr>
        <w:t>，</w:t>
      </w:r>
      <w:r>
        <w:rPr>
          <w:rFonts w:hint="eastAsia" w:ascii="宋体" w:hAnsi="宋体" w:cs="宋体"/>
          <w:color w:val="auto"/>
          <w:szCs w:val="21"/>
          <w:highlight w:val="none"/>
          <w:lang w:eastAsia="zh-TW"/>
        </w:rPr>
        <w:t>应提交联合体各方的资格证明文件、联合投标协议并注明主</w:t>
      </w:r>
      <w:r>
        <w:rPr>
          <w:rFonts w:hint="eastAsia" w:ascii="宋体" w:hAnsi="宋体" w:cs="宋体"/>
          <w:color w:val="auto"/>
          <w:szCs w:val="21"/>
          <w:highlight w:val="none"/>
        </w:rPr>
        <w:t>体方及各方拟承担的工作和责任。</w:t>
      </w:r>
      <w:r>
        <w:rPr>
          <w:rFonts w:hint="eastAsia" w:ascii="宋体" w:hAnsi="宋体" w:cs="宋体"/>
          <w:color w:val="auto"/>
          <w:szCs w:val="21"/>
          <w:highlight w:val="none"/>
          <w:lang w:eastAsia="zh-TW"/>
        </w:rPr>
        <w:t>否则</w:t>
      </w:r>
      <w:r>
        <w:rPr>
          <w:rFonts w:hint="eastAsia" w:ascii="宋体" w:hAnsi="宋体" w:cs="宋体"/>
          <w:color w:val="auto"/>
          <w:szCs w:val="21"/>
          <w:highlight w:val="none"/>
        </w:rPr>
        <w:t>，</w:t>
      </w:r>
      <w:r>
        <w:rPr>
          <w:rFonts w:hint="eastAsia" w:ascii="宋体" w:hAnsi="宋体" w:cs="宋体"/>
          <w:color w:val="auto"/>
          <w:szCs w:val="21"/>
          <w:highlight w:val="none"/>
          <w:lang w:eastAsia="zh-TW"/>
        </w:rPr>
        <w:t>将导致其投标</w:t>
      </w:r>
      <w:r>
        <w:rPr>
          <w:rFonts w:hint="eastAsia" w:ascii="宋体" w:hAnsi="宋体" w:cs="宋体"/>
          <w:color w:val="auto"/>
          <w:szCs w:val="21"/>
          <w:highlight w:val="none"/>
        </w:rPr>
        <w:t>无效。</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投标人提交的资格证明文件应证明其</w:t>
      </w:r>
      <w:r>
        <w:rPr>
          <w:rFonts w:hint="eastAsia" w:ascii="宋体" w:hAnsi="宋体" w:cs="宋体"/>
          <w:color w:val="auto"/>
          <w:szCs w:val="21"/>
          <w:highlight w:val="none"/>
        </w:rPr>
        <w:t>满足</w:t>
      </w:r>
      <w:r>
        <w:rPr>
          <w:rFonts w:hint="eastAsia" w:ascii="宋体" w:hAnsi="宋体" w:cs="宋体"/>
          <w:bCs/>
          <w:color w:val="auto"/>
          <w:szCs w:val="20"/>
          <w:highlight w:val="none"/>
        </w:rPr>
        <w:t>投标人的资格要求</w:t>
      </w:r>
      <w:r>
        <w:rPr>
          <w:rFonts w:hint="eastAsia" w:ascii="宋体" w:hAnsi="宋体" w:cs="宋体"/>
          <w:color w:val="auto"/>
          <w:szCs w:val="21"/>
          <w:highlight w:val="none"/>
          <w:lang w:eastAsia="zh-TW"/>
        </w:rPr>
        <w:t>。</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78" w:name="_Toc15589"/>
      <w:bookmarkStart w:id="379" w:name="_Toc26946"/>
      <w:bookmarkStart w:id="380" w:name="_Toc2298"/>
      <w:r>
        <w:rPr>
          <w:rFonts w:hint="eastAsia" w:ascii="宋体" w:hAnsi="宋体" w:cs="宋体"/>
          <w:b/>
          <w:bCs/>
          <w:color w:val="auto"/>
          <w:szCs w:val="21"/>
          <w:highlight w:val="none"/>
        </w:rPr>
        <w:t>证明投标标的的合格性和符合招标文件规定的文件</w:t>
      </w:r>
      <w:bookmarkEnd w:id="378"/>
      <w:bookmarkEnd w:id="379"/>
      <w:bookmarkEnd w:id="380"/>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的货物和服务的合格性符合招标文件规定。该证明文件作为投标文件的一部分。</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货物和服务合格性的证明文件应包括投标分项报价表中对货物和服务原产地的说明。</w:t>
      </w:r>
    </w:p>
    <w:p>
      <w:pPr>
        <w:numPr>
          <w:ilvl w:val="1"/>
          <w:numId w:val="67"/>
        </w:numPr>
        <w:autoSpaceDE w:val="0"/>
        <w:autoSpaceDN w:val="0"/>
        <w:adjustRightInd w:val="0"/>
        <w:snapToGrid w:val="0"/>
        <w:spacing w:line="360" w:lineRule="auto"/>
        <w:rPr>
          <w:rFonts w:ascii="宋体" w:hAnsi="宋体" w:cs="宋体"/>
          <w:strike/>
          <w:color w:val="auto"/>
          <w:szCs w:val="21"/>
          <w:highlight w:val="none"/>
        </w:rPr>
      </w:pPr>
      <w:r>
        <w:rPr>
          <w:rFonts w:hint="eastAsia" w:ascii="宋体" w:hAnsi="宋体" w:cs="宋体"/>
          <w:color w:val="auto"/>
          <w:szCs w:val="21"/>
          <w:highlight w:val="none"/>
          <w:lang w:eastAsia="zh-TW"/>
        </w:rPr>
        <w:t>证明货物和服务与招标文件的要求相一致的文件，可以是文字资料、图纸和数据</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除</w:t>
      </w:r>
      <w:r>
        <w:rPr>
          <w:rFonts w:hint="eastAsia" w:ascii="宋体" w:hAnsi="宋体" w:cs="宋体"/>
          <w:b/>
          <w:color w:val="auto"/>
          <w:szCs w:val="21"/>
          <w:highlight w:val="none"/>
        </w:rPr>
        <w:t>投标资料表</w:t>
      </w:r>
      <w:r>
        <w:rPr>
          <w:rFonts w:hint="eastAsia" w:ascii="宋体" w:hAnsi="宋体" w:cs="宋体"/>
          <w:color w:val="auto"/>
          <w:szCs w:val="21"/>
          <w:highlight w:val="none"/>
        </w:rPr>
        <w:t>另有规定，</w:t>
      </w:r>
      <w:r>
        <w:rPr>
          <w:rFonts w:hint="eastAsia" w:ascii="宋体" w:hAnsi="宋体" w:cs="宋体"/>
          <w:color w:val="auto"/>
          <w:szCs w:val="21"/>
          <w:highlight w:val="none"/>
          <w:lang w:eastAsia="zh-TW"/>
        </w:rPr>
        <w:t>投标人对加注星号（“★”）的实质性条款或技术参数应当在投标文件中提供技术支持资料。技术支持资料以投标货物制造商公开发布的印刷资料或检测机构出具的检测报告或投标货物制造商</w:t>
      </w:r>
      <w:r>
        <w:rPr>
          <w:rFonts w:hint="eastAsia" w:ascii="宋体" w:hAnsi="宋体" w:cs="宋体"/>
          <w:color w:val="auto"/>
          <w:szCs w:val="21"/>
          <w:highlight w:val="none"/>
        </w:rPr>
        <w:t>出具的证明或</w:t>
      </w:r>
      <w:r>
        <w:rPr>
          <w:rFonts w:hint="eastAsia" w:ascii="宋体" w:hAnsi="宋体" w:cs="宋体"/>
          <w:color w:val="auto"/>
          <w:szCs w:val="21"/>
          <w:highlight w:val="none"/>
          <w:lang w:eastAsia="zh-TW"/>
        </w:rPr>
        <w:t>招标文件中允许的其他形式为准。凡不符合上述要求的，将视为无效技术支持资料</w:t>
      </w:r>
      <w:r>
        <w:rPr>
          <w:rFonts w:hint="eastAsia" w:ascii="宋体" w:hAnsi="宋体" w:cs="宋体"/>
          <w:color w:val="auto"/>
          <w:szCs w:val="21"/>
          <w:highlight w:val="none"/>
        </w:rPr>
        <w:t>，导致投标无效</w:t>
      </w:r>
      <w:r>
        <w:rPr>
          <w:rFonts w:hint="eastAsia" w:ascii="宋体" w:hAnsi="宋体" w:cs="宋体"/>
          <w:color w:val="auto"/>
          <w:szCs w:val="21"/>
          <w:highlight w:val="none"/>
          <w:lang w:eastAsia="zh-TW"/>
        </w:rPr>
        <w:t>。</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81" w:name="_Toc18022"/>
      <w:bookmarkStart w:id="382" w:name="_Toc8564"/>
      <w:bookmarkStart w:id="383" w:name="_Toc30541"/>
      <w:r>
        <w:rPr>
          <w:rFonts w:hint="eastAsia" w:ascii="宋体" w:hAnsi="宋体" w:cs="宋体"/>
          <w:b/>
          <w:bCs/>
          <w:color w:val="auto"/>
          <w:szCs w:val="21"/>
          <w:highlight w:val="none"/>
        </w:rPr>
        <w:t>分包</w:t>
      </w:r>
      <w:bookmarkEnd w:id="381"/>
      <w:bookmarkEnd w:id="382"/>
      <w:bookmarkEnd w:id="383"/>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如果</w:t>
      </w:r>
      <w:r>
        <w:rPr>
          <w:rFonts w:hint="eastAsia" w:ascii="宋体" w:hAnsi="宋体" w:cs="宋体"/>
          <w:b/>
          <w:color w:val="auto"/>
          <w:szCs w:val="21"/>
          <w:highlight w:val="none"/>
        </w:rPr>
        <w:t>投标资料表</w:t>
      </w:r>
      <w:r>
        <w:rPr>
          <w:rFonts w:hint="eastAsia" w:ascii="宋体" w:hAnsi="宋体" w:cs="宋体"/>
          <w:color w:val="auto"/>
          <w:szCs w:val="21"/>
          <w:highlight w:val="none"/>
        </w:rPr>
        <w:t>已明确允许分包且投标人拟在中标后将中标项目的非主体、非关键性工作分包的，投标人应当在投标文件中载明分包承担主体，分包承担主体应当具备相应资质条件且不得再次分包。</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84" w:name="_Toc22123"/>
      <w:bookmarkStart w:id="385" w:name="_Toc3746"/>
      <w:bookmarkStart w:id="386" w:name="_Toc22019"/>
      <w:r>
        <w:rPr>
          <w:rFonts w:hint="eastAsia" w:ascii="宋体" w:hAnsi="宋体" w:cs="宋体"/>
          <w:b/>
          <w:bCs/>
          <w:color w:val="auto"/>
          <w:szCs w:val="21"/>
          <w:highlight w:val="none"/>
        </w:rPr>
        <w:t>投标保证金</w:t>
      </w:r>
      <w:bookmarkEnd w:id="384"/>
      <w:bookmarkEnd w:id="385"/>
      <w:bookmarkEnd w:id="386"/>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投标人应</w:t>
      </w:r>
      <w:r>
        <w:rPr>
          <w:rFonts w:hint="eastAsia" w:ascii="宋体" w:hAnsi="宋体" w:cs="宋体"/>
          <w:color w:val="auto"/>
          <w:szCs w:val="21"/>
          <w:highlight w:val="none"/>
        </w:rPr>
        <w:t>按</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w:t>
      </w:r>
      <w:r>
        <w:rPr>
          <w:rFonts w:hint="eastAsia" w:ascii="宋体" w:hAnsi="宋体" w:cs="宋体"/>
          <w:color w:val="auto"/>
          <w:szCs w:val="21"/>
          <w:highlight w:val="none"/>
        </w:rPr>
        <w:t>缴纳</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w:t>
      </w:r>
      <w:r>
        <w:rPr>
          <w:rFonts w:hint="eastAsia" w:ascii="宋体" w:hAnsi="宋体" w:cs="宋体"/>
          <w:color w:val="auto"/>
          <w:szCs w:val="21"/>
          <w:highlight w:val="none"/>
        </w:rPr>
        <w:t>文件的组成</w:t>
      </w:r>
      <w:r>
        <w:rPr>
          <w:rFonts w:hint="eastAsia" w:ascii="宋体" w:hAnsi="宋体" w:cs="宋体"/>
          <w:color w:val="auto"/>
          <w:szCs w:val="21"/>
          <w:highlight w:val="none"/>
          <w:lang w:eastAsia="zh-TW"/>
        </w:rPr>
        <w:t>部分。</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未中标的投标人保证金，在中标通知书发出之日起</w:t>
      </w:r>
      <w:r>
        <w:rPr>
          <w:rFonts w:hint="eastAsia" w:ascii="宋体" w:hAnsi="宋体" w:cs="宋体"/>
          <w:color w:val="auto"/>
          <w:szCs w:val="21"/>
          <w:highlight w:val="none"/>
        </w:rPr>
        <w:t>5</w:t>
      </w:r>
      <w:r>
        <w:rPr>
          <w:rFonts w:hint="eastAsia" w:ascii="宋体" w:hAnsi="宋体" w:cs="宋体"/>
          <w:color w:val="auto"/>
          <w:szCs w:val="21"/>
          <w:highlight w:val="none"/>
          <w:lang w:eastAsia="zh-TW"/>
        </w:rPr>
        <w:t>个工作日内</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但因投标人自身原因导致无法及时退还的除外</w:t>
      </w:r>
      <w:r>
        <w:rPr>
          <w:rFonts w:hint="eastAsia" w:ascii="宋体" w:hAnsi="宋体" w:cs="宋体"/>
          <w:color w:val="auto"/>
          <w:szCs w:val="21"/>
          <w:highlight w:val="none"/>
        </w:rPr>
        <w:t>）</w:t>
      </w:r>
      <w:r>
        <w:rPr>
          <w:rFonts w:hint="eastAsia" w:ascii="宋体" w:hAnsi="宋体" w:cs="宋体"/>
          <w:color w:val="auto"/>
          <w:szCs w:val="21"/>
          <w:highlight w:val="none"/>
          <w:lang w:eastAsia="zh-TW"/>
        </w:rPr>
        <w:t>不计利息原额退还。</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中标人的投标保证金，在中标人与采购人签订采购合同之日起</w:t>
      </w:r>
      <w:r>
        <w:rPr>
          <w:rFonts w:hint="eastAsia" w:ascii="宋体" w:hAnsi="宋体" w:cs="宋体"/>
          <w:color w:val="auto"/>
          <w:szCs w:val="21"/>
          <w:highlight w:val="none"/>
        </w:rPr>
        <w:t>5</w:t>
      </w:r>
      <w:r>
        <w:rPr>
          <w:rFonts w:hint="eastAsia" w:ascii="宋体" w:hAnsi="宋体" w:cs="宋体"/>
          <w:color w:val="auto"/>
          <w:szCs w:val="21"/>
          <w:highlight w:val="none"/>
          <w:lang w:eastAsia="zh-TW"/>
        </w:rPr>
        <w:t>个工作日内</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但因投标人自身原因导致无法及时退还的除外</w:t>
      </w:r>
      <w:r>
        <w:rPr>
          <w:rFonts w:hint="eastAsia" w:ascii="宋体" w:hAnsi="宋体" w:cs="宋体"/>
          <w:color w:val="auto"/>
          <w:szCs w:val="21"/>
          <w:highlight w:val="none"/>
        </w:rPr>
        <w:t>）</w:t>
      </w:r>
      <w:r>
        <w:rPr>
          <w:rFonts w:hint="eastAsia" w:ascii="宋体" w:hAnsi="宋体" w:cs="宋体"/>
          <w:color w:val="auto"/>
          <w:szCs w:val="21"/>
          <w:highlight w:val="none"/>
          <w:lang w:eastAsia="zh-TW"/>
        </w:rPr>
        <w:t>不计利息原额退还或者转为中标人的</w:t>
      </w:r>
      <w:r>
        <w:rPr>
          <w:rFonts w:hint="eastAsia" w:ascii="宋体" w:hAnsi="宋体" w:cs="宋体"/>
          <w:color w:val="auto"/>
          <w:szCs w:val="21"/>
          <w:highlight w:val="none"/>
        </w:rPr>
        <w:t>履约保证金</w:t>
      </w:r>
      <w:r>
        <w:rPr>
          <w:rFonts w:hint="eastAsia" w:ascii="宋体" w:hAnsi="宋体" w:cs="宋体"/>
          <w:color w:val="auto"/>
          <w:szCs w:val="21"/>
          <w:highlight w:val="none"/>
          <w:lang w:eastAsia="zh-TW"/>
        </w:rPr>
        <w:t>。</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下列任一情</w:t>
      </w:r>
      <w:r>
        <w:rPr>
          <w:rFonts w:hint="eastAsia" w:ascii="宋体" w:hAnsi="宋体" w:cs="宋体"/>
          <w:color w:val="auto"/>
          <w:szCs w:val="21"/>
          <w:highlight w:val="none"/>
        </w:rPr>
        <w:t>形</w:t>
      </w:r>
      <w:r>
        <w:rPr>
          <w:rFonts w:hint="eastAsia" w:ascii="宋体" w:hAnsi="宋体" w:cs="宋体"/>
          <w:color w:val="auto"/>
          <w:szCs w:val="21"/>
          <w:highlight w:val="none"/>
          <w:lang w:eastAsia="zh-TW"/>
        </w:rPr>
        <w:t>发生时</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投标保证金将不予退还：</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投标人在招标文件中规定的投标有效期内撤</w:t>
      </w:r>
      <w:r>
        <w:rPr>
          <w:rFonts w:hint="eastAsia" w:ascii="宋体" w:hAnsi="宋体" w:cs="宋体"/>
          <w:color w:val="auto"/>
          <w:szCs w:val="21"/>
          <w:highlight w:val="none"/>
        </w:rPr>
        <w:t>销</w:t>
      </w:r>
      <w:r>
        <w:rPr>
          <w:rFonts w:hint="eastAsia" w:ascii="宋体" w:hAnsi="宋体" w:cs="宋体"/>
          <w:color w:val="auto"/>
          <w:szCs w:val="21"/>
          <w:highlight w:val="none"/>
          <w:lang w:eastAsia="zh-TW"/>
        </w:rPr>
        <w:t>其投标文件</w:t>
      </w:r>
      <w:r>
        <w:rPr>
          <w:rFonts w:hint="eastAsia" w:ascii="宋体" w:hAnsi="宋体" w:cs="宋体"/>
          <w:color w:val="auto"/>
          <w:szCs w:val="21"/>
          <w:highlight w:val="none"/>
        </w:rPr>
        <w:t>；</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中标后无正当理由放弃中标或中标人</w:t>
      </w:r>
      <w:r>
        <w:rPr>
          <w:rFonts w:hint="eastAsia" w:ascii="宋体" w:hAnsi="宋体" w:cs="宋体"/>
          <w:color w:val="auto"/>
          <w:szCs w:val="21"/>
          <w:highlight w:val="none"/>
        </w:rPr>
        <w:t>拒绝与采购人</w:t>
      </w:r>
      <w:r>
        <w:rPr>
          <w:rFonts w:hint="eastAsia" w:ascii="宋体" w:hAnsi="宋体" w:cs="宋体"/>
          <w:color w:val="auto"/>
          <w:szCs w:val="21"/>
          <w:highlight w:val="none"/>
          <w:lang w:eastAsia="zh-TW"/>
        </w:rPr>
        <w:t>签订合同</w:t>
      </w:r>
      <w:r>
        <w:rPr>
          <w:rFonts w:hint="eastAsia" w:ascii="宋体" w:hAnsi="宋体" w:cs="宋体"/>
          <w:color w:val="auto"/>
          <w:szCs w:val="21"/>
          <w:highlight w:val="none"/>
        </w:rPr>
        <w:t>；</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rPr>
        <w:t>依法取消中标资格；</w:t>
      </w:r>
    </w:p>
    <w:p>
      <w:pPr>
        <w:numPr>
          <w:ilvl w:val="2"/>
          <w:numId w:val="67"/>
        </w:numPr>
        <w:tabs>
          <w:tab w:val="left" w:pos="851"/>
        </w:tabs>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中标人未按本须知规定缴纳</w:t>
      </w:r>
      <w:r>
        <w:rPr>
          <w:rFonts w:hint="eastAsia" w:ascii="宋体" w:hAnsi="宋体" w:cs="宋体"/>
          <w:color w:val="auto"/>
          <w:szCs w:val="21"/>
          <w:highlight w:val="none"/>
        </w:rPr>
        <w:t>采购代理服务费</w:t>
      </w:r>
      <w:r>
        <w:rPr>
          <w:rFonts w:hint="eastAsia" w:ascii="宋体" w:hAnsi="宋体" w:cs="宋体"/>
          <w:color w:val="auto"/>
          <w:szCs w:val="21"/>
          <w:highlight w:val="none"/>
          <w:lang w:eastAsia="zh-TW"/>
        </w:rPr>
        <w:t>。</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87" w:name="_Toc31570"/>
      <w:bookmarkStart w:id="388" w:name="_Toc6950"/>
      <w:bookmarkStart w:id="389" w:name="_Toc18240"/>
      <w:r>
        <w:rPr>
          <w:rFonts w:hint="eastAsia" w:ascii="宋体" w:hAnsi="宋体" w:cs="宋体"/>
          <w:b/>
          <w:bCs/>
          <w:color w:val="auto"/>
          <w:szCs w:val="21"/>
          <w:highlight w:val="none"/>
        </w:rPr>
        <w:t>投标有效期</w:t>
      </w:r>
      <w:bookmarkEnd w:id="387"/>
      <w:bookmarkEnd w:id="388"/>
      <w:bookmarkEnd w:id="389"/>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投标应自</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中规定的投标有效期从提交投标文件的截止之日起算，并</w:t>
      </w:r>
      <w:r>
        <w:rPr>
          <w:rFonts w:hint="eastAsia" w:ascii="宋体" w:hAnsi="宋体" w:cs="宋体"/>
          <w:color w:val="auto"/>
          <w:szCs w:val="21"/>
          <w:highlight w:val="none"/>
        </w:rPr>
        <w:t>与</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中所述期限内保持有效。投标有效期不足的投标将被视为非实质性响应</w:t>
      </w:r>
      <w:r>
        <w:rPr>
          <w:rFonts w:hint="eastAsia" w:ascii="宋体" w:hAnsi="宋体" w:cs="宋体"/>
          <w:color w:val="auto"/>
          <w:szCs w:val="21"/>
          <w:highlight w:val="none"/>
        </w:rPr>
        <w:t>，视为无效投标</w:t>
      </w:r>
      <w:r>
        <w:rPr>
          <w:rFonts w:hint="eastAsia" w:ascii="宋体" w:hAnsi="宋体" w:cs="宋体"/>
          <w:color w:val="auto"/>
          <w:szCs w:val="21"/>
          <w:highlight w:val="none"/>
          <w:lang w:eastAsia="zh-TW"/>
        </w:rPr>
        <w:t>。</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特殊情况下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在原投标有效期截止之前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采购代理机构可要求投标人延长投标有效期。这种要求与答复均应以书面形式提交。投标人可拒绝采购代理机构的这种要求</w:t>
      </w:r>
      <w:r>
        <w:rPr>
          <w:rFonts w:hint="eastAsia" w:ascii="宋体" w:hAnsi="宋体" w:cs="宋体"/>
          <w:color w:val="auto"/>
          <w:szCs w:val="21"/>
          <w:highlight w:val="none"/>
        </w:rPr>
        <w:t>，</w:t>
      </w:r>
      <w:r>
        <w:rPr>
          <w:rFonts w:hint="eastAsia" w:ascii="宋体" w:hAnsi="宋体" w:cs="宋体"/>
          <w:color w:val="auto"/>
          <w:szCs w:val="21"/>
          <w:highlight w:val="none"/>
          <w:lang w:eastAsia="zh-TW"/>
        </w:rPr>
        <w:t>其投标保证金将</w:t>
      </w:r>
      <w:r>
        <w:rPr>
          <w:rFonts w:hint="eastAsia" w:ascii="宋体" w:hAnsi="宋体" w:cs="宋体"/>
          <w:color w:val="auto"/>
          <w:szCs w:val="21"/>
          <w:highlight w:val="none"/>
        </w:rPr>
        <w:t>予以退还，</w:t>
      </w:r>
      <w:r>
        <w:rPr>
          <w:rFonts w:hint="eastAsia" w:ascii="宋体" w:hAnsi="宋体" w:cs="宋体"/>
          <w:color w:val="auto"/>
          <w:szCs w:val="21"/>
          <w:highlight w:val="none"/>
          <w:lang w:eastAsia="zh-TW"/>
        </w:rPr>
        <w:t>但其投标在原投标有效期期满后将不再有效。同意延长投标有效期的投标人将不会被要求和允许修正其投标</w:t>
      </w:r>
      <w:r>
        <w:rPr>
          <w:rFonts w:hint="eastAsia" w:ascii="宋体" w:hAnsi="宋体" w:cs="宋体"/>
          <w:color w:val="auto"/>
          <w:szCs w:val="21"/>
          <w:highlight w:val="none"/>
        </w:rPr>
        <w:t>，</w:t>
      </w:r>
      <w:r>
        <w:rPr>
          <w:rFonts w:hint="eastAsia" w:ascii="宋体" w:hAnsi="宋体" w:cs="宋体"/>
          <w:color w:val="auto"/>
          <w:szCs w:val="21"/>
          <w:highlight w:val="none"/>
          <w:lang w:eastAsia="zh-TW"/>
        </w:rPr>
        <w:t>而只会被要求相应地延长其投标保证金的有效期。在这种情况下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本须知有关投标保证金的退还和没收的规定将在延长了的有效期内继续有效。</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390" w:name="_Toc26106"/>
      <w:bookmarkStart w:id="391" w:name="_Toc27629"/>
      <w:bookmarkStart w:id="392" w:name="_Toc20935"/>
      <w:r>
        <w:rPr>
          <w:rFonts w:hint="eastAsia" w:ascii="宋体" w:hAnsi="宋体" w:cs="宋体"/>
          <w:b/>
          <w:bCs/>
          <w:color w:val="auto"/>
          <w:szCs w:val="21"/>
          <w:highlight w:val="none"/>
        </w:rPr>
        <w:t>投标文件的式样和密封</w:t>
      </w:r>
      <w:bookmarkEnd w:id="390"/>
      <w:bookmarkEnd w:id="391"/>
      <w:bookmarkEnd w:id="392"/>
    </w:p>
    <w:p>
      <w:pPr>
        <w:widowControl/>
        <w:numPr>
          <w:ilvl w:val="1"/>
          <w:numId w:val="67"/>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投标人应准备一份投标文件正本和</w:t>
      </w:r>
      <w:r>
        <w:rPr>
          <w:rFonts w:hint="eastAsia" w:ascii="宋体" w:hAnsi="宋体" w:cs="宋体"/>
          <w:b/>
          <w:color w:val="auto"/>
          <w:szCs w:val="21"/>
          <w:highlight w:val="none"/>
        </w:rPr>
        <w:t>投标资料表</w:t>
      </w:r>
      <w:r>
        <w:rPr>
          <w:rFonts w:hint="eastAsia" w:ascii="宋体" w:hAnsi="宋体" w:cs="宋体"/>
          <w:color w:val="auto"/>
          <w:szCs w:val="21"/>
          <w:highlight w:val="none"/>
        </w:rPr>
        <w:t>中规定数目的副本，投标文件原则上采用A4纸制做。每套投标文件须清楚地标明“正本”或“副本”。若正本和副本不符，以正本为准。</w:t>
      </w:r>
      <w:bookmarkStart w:id="393" w:name="_Toc237787559"/>
      <w:r>
        <w:rPr>
          <w:rFonts w:hint="eastAsia" w:ascii="宋体" w:hAnsi="宋体" w:cs="宋体"/>
          <w:color w:val="auto"/>
          <w:szCs w:val="21"/>
          <w:highlight w:val="none"/>
        </w:rPr>
        <w:t>投标人应按</w:t>
      </w:r>
      <w:r>
        <w:rPr>
          <w:rFonts w:hint="eastAsia" w:ascii="宋体" w:hAnsi="宋体" w:cs="宋体"/>
          <w:b/>
          <w:color w:val="auto"/>
          <w:szCs w:val="21"/>
          <w:highlight w:val="none"/>
        </w:rPr>
        <w:t>投标资料表</w:t>
      </w:r>
      <w:r>
        <w:rPr>
          <w:rFonts w:hint="eastAsia" w:ascii="宋体" w:hAnsi="宋体" w:cs="宋体"/>
          <w:color w:val="auto"/>
          <w:szCs w:val="21"/>
          <w:highlight w:val="none"/>
        </w:rPr>
        <w:t>的规定，同时提交电子介质的投标文件。</w:t>
      </w:r>
      <w:bookmarkEnd w:id="393"/>
      <w:r>
        <w:rPr>
          <w:rFonts w:hint="eastAsia" w:ascii="宋体" w:hAnsi="宋体" w:cs="宋体"/>
          <w:color w:val="auto"/>
          <w:szCs w:val="21"/>
          <w:highlight w:val="none"/>
        </w:rPr>
        <w:t>电子介质的投标文件与纸质投标文件具有同等的法律效力。除非</w:t>
      </w:r>
      <w:r>
        <w:rPr>
          <w:rFonts w:hint="eastAsia" w:ascii="宋体" w:hAnsi="宋体" w:cs="宋体"/>
          <w:b/>
          <w:color w:val="auto"/>
          <w:szCs w:val="21"/>
          <w:highlight w:val="none"/>
        </w:rPr>
        <w:t>投标资料表</w:t>
      </w:r>
      <w:r>
        <w:rPr>
          <w:rFonts w:hint="eastAsia" w:ascii="宋体" w:hAnsi="宋体" w:cs="宋体"/>
          <w:color w:val="auto"/>
          <w:szCs w:val="21"/>
          <w:highlight w:val="none"/>
        </w:rPr>
        <w:t>中另有规定，电子介质的投标文件与纸质投标文件不一致时，以纸质投标文件为准。</w:t>
      </w:r>
    </w:p>
    <w:p>
      <w:pPr>
        <w:numPr>
          <w:ilvl w:val="1"/>
          <w:numId w:val="6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电子文件：</w:t>
      </w:r>
      <w:r>
        <w:rPr>
          <w:rFonts w:hint="eastAsia" w:ascii="宋体" w:hAnsi="宋体" w:cs="宋体"/>
          <w:color w:val="auto"/>
          <w:szCs w:val="21"/>
          <w:highlight w:val="none"/>
        </w:rPr>
        <w:t>是指</w:t>
      </w:r>
      <w:r>
        <w:rPr>
          <w:rFonts w:hint="eastAsia" w:ascii="宋体" w:hAnsi="宋体" w:cs="宋体"/>
          <w:color w:val="auto"/>
          <w:szCs w:val="21"/>
          <w:highlight w:val="none"/>
          <w:lang w:eastAsia="zh-TW"/>
        </w:rPr>
        <w:t>一套用WORD/EXCEL等软件编制的包含投标文件中所有内容的电子文件</w:t>
      </w:r>
      <w:r>
        <w:rPr>
          <w:rFonts w:hint="eastAsia" w:ascii="宋体" w:hAnsi="宋体" w:cs="宋体"/>
          <w:color w:val="auto"/>
          <w:szCs w:val="21"/>
          <w:highlight w:val="none"/>
        </w:rPr>
        <w:t>；电子文件</w:t>
      </w:r>
      <w:r>
        <w:rPr>
          <w:rFonts w:hint="eastAsia" w:ascii="宋体" w:hAnsi="宋体" w:cs="宋体"/>
          <w:color w:val="auto"/>
          <w:sz w:val="23"/>
          <w:highlight w:val="none"/>
        </w:rPr>
        <w:t>不设密码，无病毒，不压缩，以</w:t>
      </w:r>
      <w:r>
        <w:rPr>
          <w:rFonts w:hint="eastAsia" w:ascii="宋体" w:hAnsi="宋体" w:cs="宋体"/>
          <w:color w:val="auto"/>
          <w:szCs w:val="21"/>
          <w:highlight w:val="none"/>
          <w:lang w:eastAsia="zh-TW"/>
        </w:rPr>
        <w:t>U盘或光盘</w:t>
      </w:r>
      <w:r>
        <w:rPr>
          <w:rFonts w:hint="eastAsia" w:ascii="宋体" w:hAnsi="宋体" w:cs="宋体"/>
          <w:color w:val="auto"/>
          <w:szCs w:val="21"/>
          <w:highlight w:val="none"/>
        </w:rPr>
        <w:t>形式递交。</w:t>
      </w:r>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b/>
          <w:color w:val="auto"/>
          <w:szCs w:val="21"/>
          <w:highlight w:val="none"/>
          <w:lang w:eastAsia="zh-TW"/>
        </w:rPr>
        <w:t>投标文件</w:t>
      </w:r>
      <w:r>
        <w:rPr>
          <w:rFonts w:hint="eastAsia" w:ascii="宋体" w:hAnsi="宋体" w:cs="宋体"/>
          <w:b/>
          <w:bCs/>
          <w:color w:val="auto"/>
          <w:szCs w:val="21"/>
          <w:highlight w:val="none"/>
        </w:rPr>
        <w:t>密封</w:t>
      </w:r>
      <w:r>
        <w:rPr>
          <w:rFonts w:hint="eastAsia" w:ascii="宋体" w:hAnsi="宋体" w:cs="宋体"/>
          <w:b/>
          <w:color w:val="auto"/>
          <w:szCs w:val="21"/>
          <w:highlight w:val="none"/>
          <w:lang w:eastAsia="zh-TW"/>
        </w:rPr>
        <w:t>：</w:t>
      </w:r>
    </w:p>
    <w:p>
      <w:pPr>
        <w:numPr>
          <w:ilvl w:val="2"/>
          <w:numId w:val="67"/>
        </w:numPr>
        <w:autoSpaceDE w:val="0"/>
        <w:autoSpaceDN w:val="0"/>
        <w:adjustRightInd w:val="0"/>
        <w:snapToGrid w:val="0"/>
        <w:spacing w:line="360" w:lineRule="auto"/>
        <w:ind w:left="851" w:hanging="851"/>
        <w:rPr>
          <w:rFonts w:ascii="宋体" w:hAnsi="宋体" w:cs="宋体"/>
          <w:color w:val="auto"/>
          <w:szCs w:val="21"/>
          <w:highlight w:val="none"/>
        </w:rPr>
      </w:pPr>
      <w:r>
        <w:rPr>
          <w:rFonts w:hint="eastAsia" w:ascii="宋体" w:hAnsi="宋体" w:cs="宋体"/>
          <w:color w:val="auto"/>
          <w:szCs w:val="21"/>
          <w:highlight w:val="none"/>
        </w:rPr>
        <w:t>投标文件正本与副本可以单独密封包装，也可以所有投标文件密封包装在一个密封袋内。密封袋的封口处应粘贴处理。</w:t>
      </w:r>
    </w:p>
    <w:p>
      <w:pPr>
        <w:numPr>
          <w:ilvl w:val="2"/>
          <w:numId w:val="67"/>
        </w:numPr>
        <w:autoSpaceDE w:val="0"/>
        <w:autoSpaceDN w:val="0"/>
        <w:adjustRightInd w:val="0"/>
        <w:snapToGrid w:val="0"/>
        <w:spacing w:line="360" w:lineRule="auto"/>
        <w:ind w:left="851" w:hanging="851"/>
        <w:rPr>
          <w:rFonts w:ascii="宋体" w:hAnsi="宋体" w:cs="宋体"/>
          <w:color w:val="auto"/>
          <w:szCs w:val="21"/>
          <w:highlight w:val="none"/>
          <w:lang w:eastAsia="zh-TW"/>
        </w:rPr>
      </w:pPr>
      <w:r>
        <w:rPr>
          <w:rFonts w:hint="eastAsia" w:ascii="宋体" w:hAnsi="宋体" w:cs="宋体"/>
          <w:color w:val="auto"/>
          <w:szCs w:val="21"/>
          <w:highlight w:val="none"/>
        </w:rPr>
        <w:t>不足以造成投标文件可以从外包装内散出而导致投标文件泄密的，不认定为投标文件未密封。</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lang w:eastAsia="zh-TW"/>
        </w:rPr>
        <w:t>投标文件的签署：</w:t>
      </w:r>
      <w:r>
        <w:rPr>
          <w:rFonts w:hint="eastAsia" w:ascii="宋体" w:hAnsi="宋体" w:cs="宋体"/>
          <w:color w:val="auto"/>
          <w:szCs w:val="21"/>
          <w:highlight w:val="none"/>
        </w:rPr>
        <w:t xml:space="preserve"> </w:t>
      </w:r>
    </w:p>
    <w:p>
      <w:pPr>
        <w:numPr>
          <w:ilvl w:val="2"/>
          <w:numId w:val="67"/>
        </w:numPr>
        <w:autoSpaceDE w:val="0"/>
        <w:autoSpaceDN w:val="0"/>
        <w:adjustRightInd w:val="0"/>
        <w:snapToGrid w:val="0"/>
        <w:spacing w:line="360" w:lineRule="auto"/>
        <w:ind w:left="851" w:hanging="851"/>
        <w:rPr>
          <w:rFonts w:ascii="宋体" w:hAnsi="宋体" w:cs="宋体"/>
          <w:color w:val="auto"/>
          <w:szCs w:val="21"/>
          <w:highlight w:val="none"/>
        </w:rPr>
      </w:pPr>
      <w:bookmarkStart w:id="394" w:name="_Toc237787560"/>
      <w:r>
        <w:rPr>
          <w:rFonts w:hint="eastAsia" w:ascii="宋体" w:hAnsi="宋体" w:cs="宋体"/>
          <w:color w:val="auto"/>
          <w:szCs w:val="21"/>
          <w:highlight w:val="none"/>
        </w:rPr>
        <w:t>投标文件正本须用不褪色墨水书写或打印，由投标人的法定代表人或经其正式授权</w:t>
      </w:r>
      <w:bookmarkEnd w:id="394"/>
      <w:bookmarkStart w:id="395" w:name="_Toc237787561"/>
      <w:r>
        <w:rPr>
          <w:rFonts w:hint="eastAsia" w:ascii="宋体" w:hAnsi="宋体" w:cs="宋体"/>
          <w:color w:val="auto"/>
          <w:szCs w:val="21"/>
          <w:highlight w:val="none"/>
        </w:rPr>
        <w:t>的代表签署本人姓名或印盖本人姓名章，不得加盖合同专用章、投标人专用章等各种形式的专用章。授权代表须将以书面形式出具的《法定代表人授权委托书》附在投标文件中。</w:t>
      </w:r>
      <w:bookmarkEnd w:id="395"/>
    </w:p>
    <w:p>
      <w:pPr>
        <w:numPr>
          <w:ilvl w:val="2"/>
          <w:numId w:val="67"/>
        </w:numPr>
        <w:autoSpaceDE w:val="0"/>
        <w:autoSpaceDN w:val="0"/>
        <w:adjustRightInd w:val="0"/>
        <w:snapToGrid w:val="0"/>
        <w:spacing w:line="360" w:lineRule="auto"/>
        <w:ind w:left="851" w:hanging="851"/>
        <w:rPr>
          <w:rFonts w:ascii="宋体" w:hAnsi="宋体" w:cs="宋体"/>
          <w:color w:val="auto"/>
          <w:szCs w:val="21"/>
          <w:highlight w:val="none"/>
        </w:rPr>
      </w:pPr>
      <w:r>
        <w:rPr>
          <w:rFonts w:hint="eastAsia" w:ascii="宋体" w:hAnsi="宋体" w:cs="宋体"/>
          <w:color w:val="auto"/>
          <w:szCs w:val="21"/>
          <w:highlight w:val="none"/>
          <w:lang w:eastAsia="zh-TW"/>
        </w:rPr>
        <w:t>投标文件中的任何重要的插字、涂改和增删，必须由法定代表人或经其正式授权的代表在旁边签署本人姓名或印盖本人姓名章才有效。</w:t>
      </w:r>
    </w:p>
    <w:p>
      <w:pPr>
        <w:numPr>
          <w:ilvl w:val="2"/>
          <w:numId w:val="67"/>
        </w:numPr>
        <w:autoSpaceDE w:val="0"/>
        <w:autoSpaceDN w:val="0"/>
        <w:adjustRightInd w:val="0"/>
        <w:snapToGrid w:val="0"/>
        <w:spacing w:line="360" w:lineRule="auto"/>
        <w:ind w:left="851" w:hanging="851"/>
        <w:rPr>
          <w:rFonts w:ascii="宋体" w:hAnsi="宋体" w:cs="宋体"/>
          <w:b/>
          <w:bCs/>
          <w:color w:val="auto"/>
          <w:szCs w:val="21"/>
          <w:highlight w:val="none"/>
        </w:rPr>
      </w:pPr>
      <w:bookmarkStart w:id="396" w:name="_Toc237787563"/>
      <w:r>
        <w:rPr>
          <w:rFonts w:hint="eastAsia" w:ascii="宋体" w:hAnsi="宋体" w:cs="宋体"/>
          <w:color w:val="auto"/>
          <w:szCs w:val="21"/>
          <w:highlight w:val="none"/>
        </w:rPr>
        <w:t>投标文件的正本，招标文件中已明示需盖章签名处，均须由投标人加盖投标人公章，并经投标人法定代表人或其正式授权的代表</w:t>
      </w:r>
      <w:bookmarkEnd w:id="396"/>
      <w:bookmarkStart w:id="397" w:name="_Toc237787564"/>
      <w:r>
        <w:rPr>
          <w:rFonts w:hint="eastAsia" w:ascii="宋体" w:hAnsi="宋体" w:cs="宋体"/>
          <w:color w:val="auto"/>
          <w:szCs w:val="21"/>
          <w:highlight w:val="none"/>
        </w:rPr>
        <w:t>签署本人姓名或印盖本人姓名章。</w:t>
      </w:r>
      <w:r>
        <w:rPr>
          <w:rFonts w:hint="eastAsia" w:ascii="宋体" w:hAnsi="宋体" w:cs="宋体"/>
          <w:b/>
          <w:bCs/>
          <w:color w:val="auto"/>
          <w:szCs w:val="21"/>
          <w:highlight w:val="none"/>
        </w:rPr>
        <w:t>投标文件副本</w:t>
      </w:r>
      <w:bookmarkEnd w:id="397"/>
      <w:r>
        <w:rPr>
          <w:rFonts w:hint="eastAsia" w:ascii="宋体" w:hAnsi="宋体" w:cs="宋体"/>
          <w:b/>
          <w:bCs/>
          <w:color w:val="auto"/>
          <w:szCs w:val="21"/>
          <w:highlight w:val="none"/>
        </w:rPr>
        <w:t>应为正本的复印件。</w:t>
      </w:r>
    </w:p>
    <w:p>
      <w:pPr>
        <w:numPr>
          <w:ilvl w:val="2"/>
          <w:numId w:val="67"/>
        </w:numPr>
        <w:autoSpaceDE w:val="0"/>
        <w:autoSpaceDN w:val="0"/>
        <w:adjustRightInd w:val="0"/>
        <w:snapToGrid w:val="0"/>
        <w:spacing w:line="360" w:lineRule="auto"/>
        <w:ind w:left="851" w:hanging="851"/>
        <w:rPr>
          <w:rFonts w:ascii="宋体" w:hAnsi="宋体" w:cs="宋体"/>
          <w:b/>
          <w:bCs/>
          <w:color w:val="auto"/>
          <w:szCs w:val="21"/>
          <w:highlight w:val="none"/>
        </w:rPr>
      </w:pPr>
      <w:r>
        <w:rPr>
          <w:rFonts w:hint="eastAsia" w:ascii="宋体" w:hAnsi="宋体" w:cs="宋体"/>
          <w:b/>
          <w:bCs/>
          <w:color w:val="auto"/>
          <w:szCs w:val="21"/>
          <w:highlight w:val="none"/>
        </w:rPr>
        <w:t>若为联合体的，除“联合体共同投标协议书”及“法定代表人证明书”、“法定代表人授权委托书”外，投标文件的其它内容可由联合体牵头单位进行签署、盖章即可。</w:t>
      </w:r>
    </w:p>
    <w:p>
      <w:pPr>
        <w:numPr>
          <w:ilvl w:val="1"/>
          <w:numId w:val="67"/>
        </w:numPr>
        <w:autoSpaceDE w:val="0"/>
        <w:autoSpaceDN w:val="0"/>
        <w:adjustRightInd w:val="0"/>
        <w:snapToGrid w:val="0"/>
        <w:spacing w:line="360" w:lineRule="auto"/>
        <w:rPr>
          <w:rFonts w:ascii="宋体" w:hAnsi="宋体" w:cs="宋体"/>
          <w:b/>
          <w:color w:val="auto"/>
          <w:szCs w:val="21"/>
          <w:highlight w:val="none"/>
          <w:lang w:eastAsia="zh-TW"/>
        </w:rPr>
      </w:pPr>
      <w:r>
        <w:rPr>
          <w:rFonts w:hint="eastAsia" w:ascii="宋体" w:hAnsi="宋体" w:cs="宋体"/>
          <w:b/>
          <w:color w:val="auto"/>
          <w:szCs w:val="21"/>
          <w:highlight w:val="none"/>
        </w:rPr>
        <w:t>投标文件标识</w:t>
      </w:r>
    </w:p>
    <w:p>
      <w:pPr>
        <w:numPr>
          <w:ilvl w:val="2"/>
          <w:numId w:val="67"/>
        </w:numPr>
        <w:tabs>
          <w:tab w:val="left" w:pos="851"/>
          <w:tab w:val="left" w:pos="993"/>
          <w:tab w:val="clear" w:pos="567"/>
        </w:tabs>
        <w:autoSpaceDE w:val="0"/>
        <w:autoSpaceDN w:val="0"/>
        <w:adjustRightInd w:val="0"/>
        <w:snapToGrid w:val="0"/>
        <w:spacing w:line="360" w:lineRule="auto"/>
        <w:ind w:left="851" w:hanging="851"/>
        <w:rPr>
          <w:rFonts w:ascii="宋体" w:hAnsi="宋体" w:cs="宋体"/>
          <w:color w:val="auto"/>
          <w:szCs w:val="21"/>
          <w:highlight w:val="none"/>
        </w:rPr>
      </w:pPr>
      <w:r>
        <w:rPr>
          <w:rFonts w:hint="eastAsia" w:ascii="宋体" w:hAnsi="宋体" w:cs="宋体"/>
          <w:color w:val="auto"/>
          <w:highlight w:val="none"/>
        </w:rPr>
        <w:t>信封或外包装上应当</w:t>
      </w:r>
      <w:r>
        <w:rPr>
          <w:rFonts w:hint="eastAsia" w:ascii="宋体" w:hAnsi="宋体" w:cs="宋体"/>
          <w:color w:val="auto"/>
          <w:szCs w:val="21"/>
          <w:highlight w:val="none"/>
        </w:rPr>
        <w:t>清楚写明</w:t>
      </w:r>
      <w:r>
        <w:rPr>
          <w:rFonts w:hint="eastAsia" w:ascii="宋体" w:hAnsi="宋体" w:cs="宋体"/>
          <w:color w:val="auto"/>
          <w:highlight w:val="none"/>
        </w:rPr>
        <w:t>投标人名称、项目名称、项目编号、</w:t>
      </w:r>
      <w:r>
        <w:rPr>
          <w:rFonts w:hint="eastAsia" w:ascii="宋体" w:hAnsi="宋体" w:cs="宋体"/>
          <w:color w:val="auto"/>
          <w:szCs w:val="21"/>
          <w:highlight w:val="none"/>
        </w:rPr>
        <w:t>包组号（如有）”的</w:t>
      </w:r>
      <w:r>
        <w:rPr>
          <w:rFonts w:hint="eastAsia" w:ascii="宋体" w:hAnsi="宋体" w:cs="宋体"/>
          <w:color w:val="auto"/>
          <w:szCs w:val="21"/>
          <w:highlight w:val="none"/>
          <w:lang w:eastAsia="zh-TW"/>
        </w:rPr>
        <w:t>字</w:t>
      </w:r>
      <w:r>
        <w:rPr>
          <w:rFonts w:hint="eastAsia" w:ascii="宋体" w:hAnsi="宋体" w:cs="宋体"/>
          <w:color w:val="auto"/>
          <w:szCs w:val="21"/>
          <w:highlight w:val="none"/>
        </w:rPr>
        <w:t>样。</w:t>
      </w:r>
    </w:p>
    <w:p>
      <w:pPr>
        <w:numPr>
          <w:ilvl w:val="3"/>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采购代理机构对误投或提前启封概不负责</w:t>
      </w:r>
      <w:r>
        <w:rPr>
          <w:rFonts w:hint="eastAsia" w:ascii="宋体" w:hAnsi="宋体" w:cs="宋体"/>
          <w:color w:val="auto"/>
          <w:szCs w:val="21"/>
          <w:highlight w:val="none"/>
        </w:rPr>
        <w:t>。</w:t>
      </w:r>
    </w:p>
    <w:p>
      <w:pPr>
        <w:numPr>
          <w:ilvl w:val="0"/>
          <w:numId w:val="66"/>
        </w:numPr>
        <w:autoSpaceDE w:val="0"/>
        <w:autoSpaceDN w:val="0"/>
        <w:adjustRightInd w:val="0"/>
        <w:snapToGrid w:val="0"/>
        <w:spacing w:beforeLines="100" w:afterLines="100" w:line="360" w:lineRule="auto"/>
        <w:ind w:left="1012" w:hanging="1012" w:hangingChars="360"/>
        <w:jc w:val="center"/>
        <w:outlineLvl w:val="1"/>
        <w:rPr>
          <w:rFonts w:ascii="宋体" w:hAnsi="宋体" w:cs="宋体"/>
          <w:b/>
          <w:color w:val="auto"/>
          <w:sz w:val="28"/>
          <w:szCs w:val="28"/>
          <w:highlight w:val="none"/>
          <w:lang w:eastAsia="zh-TW"/>
        </w:rPr>
      </w:pPr>
      <w:bookmarkStart w:id="398" w:name="_Toc520812043"/>
      <w:bookmarkStart w:id="399" w:name="_Toc24142"/>
      <w:bookmarkStart w:id="400" w:name="_Toc15390"/>
      <w:bookmarkStart w:id="401" w:name="_Toc31336"/>
      <w:bookmarkStart w:id="402" w:name="_Toc438223139"/>
      <w:bookmarkStart w:id="403" w:name="_Toc435174936"/>
      <w:bookmarkStart w:id="404" w:name="_Toc435516653"/>
      <w:r>
        <w:rPr>
          <w:rFonts w:hint="eastAsia" w:ascii="宋体" w:hAnsi="宋体" w:cs="宋体"/>
          <w:b/>
          <w:color w:val="auto"/>
          <w:sz w:val="28"/>
          <w:szCs w:val="28"/>
          <w:highlight w:val="none"/>
          <w:lang w:eastAsia="zh-TW"/>
        </w:rPr>
        <w:t>投标文件的递交</w:t>
      </w:r>
      <w:bookmarkEnd w:id="398"/>
      <w:bookmarkEnd w:id="399"/>
      <w:bookmarkEnd w:id="400"/>
      <w:bookmarkEnd w:id="401"/>
      <w:bookmarkEnd w:id="402"/>
      <w:bookmarkEnd w:id="403"/>
      <w:bookmarkEnd w:id="404"/>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05" w:name="_Toc520812044"/>
      <w:bookmarkStart w:id="406" w:name="_Toc26036"/>
      <w:bookmarkStart w:id="407" w:name="_Toc21369"/>
      <w:bookmarkStart w:id="408" w:name="_Toc6313"/>
      <w:r>
        <w:rPr>
          <w:rFonts w:hint="eastAsia" w:ascii="宋体" w:hAnsi="宋体" w:cs="宋体"/>
          <w:b/>
          <w:bCs/>
          <w:color w:val="auto"/>
          <w:szCs w:val="21"/>
          <w:highlight w:val="none"/>
        </w:rPr>
        <w:t>投标文件递交</w:t>
      </w:r>
      <w:bookmarkEnd w:id="405"/>
      <w:bookmarkEnd w:id="406"/>
      <w:bookmarkEnd w:id="407"/>
      <w:bookmarkEnd w:id="408"/>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w:t>
      </w:r>
      <w:r>
        <w:rPr>
          <w:rFonts w:hint="eastAsia" w:ascii="宋体" w:hAnsi="宋体" w:cs="宋体"/>
          <w:color w:val="auto"/>
          <w:szCs w:val="21"/>
          <w:highlight w:val="none"/>
        </w:rPr>
        <w:t>的投标文件</w:t>
      </w:r>
      <w:r>
        <w:rPr>
          <w:rFonts w:hint="eastAsia" w:ascii="宋体" w:hAnsi="宋体" w:cs="宋体"/>
          <w:color w:val="auto"/>
          <w:szCs w:val="21"/>
          <w:highlight w:val="none"/>
          <w:lang w:eastAsia="zh-TW"/>
        </w:rPr>
        <w:t>应</w:t>
      </w:r>
      <w:r>
        <w:rPr>
          <w:rFonts w:hint="eastAsia" w:ascii="宋体" w:hAnsi="宋体" w:cs="宋体"/>
          <w:color w:val="auto"/>
          <w:szCs w:val="21"/>
          <w:highlight w:val="none"/>
        </w:rPr>
        <w:t>在</w:t>
      </w:r>
      <w:r>
        <w:rPr>
          <w:rFonts w:hint="eastAsia" w:ascii="宋体" w:hAnsi="宋体" w:cs="宋体"/>
          <w:color w:val="auto"/>
          <w:highlight w:val="none"/>
        </w:rPr>
        <w:t>本项目投标截止时间前送达开标地点。</w:t>
      </w:r>
    </w:p>
    <w:p>
      <w:pPr>
        <w:numPr>
          <w:ilvl w:val="1"/>
          <w:numId w:val="67"/>
        </w:numPr>
        <w:autoSpaceDE w:val="0"/>
        <w:autoSpaceDN w:val="0"/>
        <w:adjustRightInd w:val="0"/>
        <w:snapToGrid w:val="0"/>
        <w:spacing w:line="360" w:lineRule="auto"/>
        <w:rPr>
          <w:rFonts w:ascii="宋体" w:hAnsi="宋体" w:cs="宋体"/>
          <w:b/>
          <w:bCs/>
          <w:strike/>
          <w:color w:val="auto"/>
          <w:szCs w:val="21"/>
          <w:highlight w:val="none"/>
        </w:rPr>
      </w:pPr>
      <w:r>
        <w:rPr>
          <w:rFonts w:hint="eastAsia" w:ascii="宋体" w:hAnsi="宋体" w:cs="宋体"/>
          <w:color w:val="auto"/>
          <w:szCs w:val="21"/>
          <w:highlight w:val="none"/>
          <w:lang w:eastAsia="zh-TW"/>
        </w:rPr>
        <w:t>逾期送达或者未按照招标文件要求密封的投标文件，采购人、采购代理机构应当拒收。</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09" w:name="_Toc520812045"/>
      <w:bookmarkStart w:id="410" w:name="_Toc23013"/>
      <w:bookmarkStart w:id="411" w:name="_Toc13879"/>
      <w:bookmarkStart w:id="412" w:name="_Toc3239"/>
      <w:r>
        <w:rPr>
          <w:rFonts w:hint="eastAsia" w:ascii="宋体" w:hAnsi="宋体" w:cs="宋体"/>
          <w:b/>
          <w:bCs/>
          <w:color w:val="auto"/>
          <w:szCs w:val="21"/>
          <w:highlight w:val="none"/>
        </w:rPr>
        <w:t>投标文件的修改和撤回、撤销</w:t>
      </w:r>
      <w:bookmarkEnd w:id="409"/>
      <w:bookmarkEnd w:id="410"/>
      <w:bookmarkEnd w:id="411"/>
      <w:bookmarkEnd w:id="412"/>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67"/>
        </w:numPr>
        <w:autoSpaceDE w:val="0"/>
        <w:autoSpaceDN w:val="0"/>
        <w:adjustRightInd w:val="0"/>
        <w:snapToGrid w:val="0"/>
        <w:spacing w:line="360" w:lineRule="auto"/>
        <w:rPr>
          <w:rFonts w:ascii="宋体" w:hAnsi="宋体" w:cs="宋体"/>
          <w:b/>
          <w:bCs/>
          <w:strike/>
          <w:color w:val="auto"/>
          <w:szCs w:val="21"/>
          <w:highlight w:val="none"/>
        </w:rPr>
      </w:pPr>
      <w:r>
        <w:rPr>
          <w:rFonts w:hint="eastAsia" w:ascii="宋体" w:hAnsi="宋体" w:cs="宋体"/>
          <w:color w:val="auto"/>
          <w:highlight w:val="none"/>
        </w:rPr>
        <w:t>除投标人不足3家不得开标的情形外，投标人所提交的投标文件在本项目投标截止时间后均不予退还。</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13" w:name="_Toc29279"/>
      <w:bookmarkStart w:id="414" w:name="_Toc15793"/>
      <w:bookmarkStart w:id="415" w:name="_Toc520812046"/>
      <w:bookmarkStart w:id="416" w:name="_Toc11300"/>
      <w:r>
        <w:rPr>
          <w:rFonts w:hint="eastAsia" w:ascii="宋体" w:hAnsi="宋体" w:cs="宋体"/>
          <w:b/>
          <w:bCs/>
          <w:color w:val="auto"/>
          <w:szCs w:val="21"/>
          <w:highlight w:val="none"/>
        </w:rPr>
        <w:t>询问、质疑、投诉</w:t>
      </w:r>
      <w:bookmarkEnd w:id="413"/>
      <w:bookmarkEnd w:id="414"/>
      <w:bookmarkEnd w:id="415"/>
      <w:bookmarkEnd w:id="416"/>
    </w:p>
    <w:p>
      <w:pPr>
        <w:numPr>
          <w:ilvl w:val="1"/>
          <w:numId w:val="67"/>
        </w:numPr>
        <w:autoSpaceDE w:val="0"/>
        <w:autoSpaceDN w:val="0"/>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询问</w:t>
      </w:r>
    </w:p>
    <w:p>
      <w:pPr>
        <w:numPr>
          <w:ilvl w:val="2"/>
          <w:numId w:val="67"/>
        </w:numPr>
        <w:autoSpaceDE w:val="0"/>
        <w:autoSpaceDN w:val="0"/>
        <w:adjustRightInd w:val="0"/>
        <w:snapToGrid w:val="0"/>
        <w:spacing w:line="360" w:lineRule="auto"/>
        <w:ind w:left="851" w:hanging="851"/>
        <w:rPr>
          <w:rFonts w:ascii="宋体" w:hAnsi="宋体" w:cs="宋体"/>
          <w:bCs/>
          <w:color w:val="auto"/>
          <w:szCs w:val="21"/>
          <w:highlight w:val="none"/>
        </w:rPr>
      </w:pPr>
      <w:r>
        <w:rPr>
          <w:rFonts w:hint="eastAsia" w:ascii="宋体" w:hAnsi="宋体" w:cs="宋体"/>
          <w:bCs/>
          <w:color w:val="auto"/>
          <w:szCs w:val="21"/>
          <w:highlight w:val="none"/>
        </w:rPr>
        <w:t>供应商对采购活动事项有疑问的，可以向</w:t>
      </w:r>
      <w:r>
        <w:rPr>
          <w:rFonts w:hint="eastAsia" w:ascii="宋体" w:hAnsi="宋体" w:cs="宋体"/>
          <w:color w:val="auto"/>
          <w:szCs w:val="21"/>
          <w:highlight w:val="none"/>
          <w:lang w:eastAsia="zh-TW"/>
        </w:rPr>
        <w:t>采购人或者采购代理机构</w:t>
      </w:r>
      <w:r>
        <w:rPr>
          <w:rFonts w:hint="eastAsia" w:ascii="宋体" w:hAnsi="宋体" w:cs="宋体"/>
          <w:bCs/>
          <w:color w:val="auto"/>
          <w:szCs w:val="21"/>
          <w:highlight w:val="none"/>
        </w:rPr>
        <w:t>提出询问，询问可以口头方式提出，也可以书面方式提出。</w:t>
      </w:r>
    </w:p>
    <w:p>
      <w:pPr>
        <w:numPr>
          <w:ilvl w:val="2"/>
          <w:numId w:val="67"/>
        </w:numPr>
        <w:autoSpaceDE w:val="0"/>
        <w:autoSpaceDN w:val="0"/>
        <w:adjustRightInd w:val="0"/>
        <w:snapToGrid w:val="0"/>
        <w:spacing w:line="360" w:lineRule="auto"/>
        <w:ind w:left="851" w:hanging="851"/>
        <w:rPr>
          <w:rFonts w:ascii="宋体" w:hAnsi="宋体" w:cs="宋体"/>
          <w:bCs/>
          <w:color w:val="auto"/>
          <w:szCs w:val="21"/>
          <w:highlight w:val="none"/>
        </w:rPr>
      </w:pPr>
      <w:bookmarkStart w:id="417" w:name="_Hlk507761644"/>
      <w:r>
        <w:rPr>
          <w:rFonts w:hint="eastAsia" w:ascii="宋体" w:hAnsi="宋体" w:cs="宋体"/>
          <w:bCs/>
          <w:color w:val="auto"/>
          <w:szCs w:val="21"/>
          <w:highlight w:val="none"/>
        </w:rPr>
        <w:t>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bookmarkEnd w:id="417"/>
    </w:p>
    <w:p>
      <w:pPr>
        <w:numPr>
          <w:ilvl w:val="2"/>
          <w:numId w:val="67"/>
        </w:numPr>
        <w:autoSpaceDE w:val="0"/>
        <w:autoSpaceDN w:val="0"/>
        <w:adjustRightInd w:val="0"/>
        <w:snapToGrid w:val="0"/>
        <w:spacing w:line="360" w:lineRule="auto"/>
        <w:ind w:left="851" w:hanging="851"/>
        <w:rPr>
          <w:rFonts w:ascii="宋体" w:hAnsi="宋体" w:cs="宋体"/>
          <w:bCs/>
          <w:color w:val="auto"/>
          <w:szCs w:val="21"/>
          <w:highlight w:val="none"/>
        </w:rPr>
      </w:pPr>
      <w:r>
        <w:rPr>
          <w:rFonts w:hint="eastAsia" w:ascii="宋体" w:hAnsi="宋体" w:cs="宋体"/>
          <w:color w:val="auto"/>
          <w:szCs w:val="21"/>
          <w:highlight w:val="none"/>
          <w:lang w:eastAsia="zh-TW"/>
        </w:rPr>
        <w:t>采购人或者采购代理机构</w:t>
      </w:r>
      <w:r>
        <w:rPr>
          <w:rFonts w:hint="eastAsia" w:ascii="宋体" w:hAnsi="宋体" w:cs="宋体"/>
          <w:bCs/>
          <w:color w:val="auto"/>
          <w:szCs w:val="21"/>
          <w:highlight w:val="none"/>
        </w:rPr>
        <w:t>在三个工作日内对供应商依法提出的询问作出答复。</w:t>
      </w:r>
    </w:p>
    <w:p>
      <w:pPr>
        <w:numPr>
          <w:ilvl w:val="1"/>
          <w:numId w:val="67"/>
        </w:numPr>
        <w:autoSpaceDE w:val="0"/>
        <w:autoSpaceDN w:val="0"/>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质疑</w:t>
      </w:r>
    </w:p>
    <w:p>
      <w:pPr>
        <w:numPr>
          <w:ilvl w:val="2"/>
          <w:numId w:val="67"/>
        </w:numPr>
        <w:autoSpaceDE w:val="0"/>
        <w:autoSpaceDN w:val="0"/>
        <w:adjustRightInd w:val="0"/>
        <w:snapToGrid w:val="0"/>
        <w:spacing w:line="360" w:lineRule="auto"/>
        <w:ind w:left="851" w:hanging="851"/>
        <w:rPr>
          <w:rFonts w:ascii="宋体" w:hAnsi="宋体" w:cs="宋体"/>
          <w:bCs/>
          <w:color w:val="auto"/>
          <w:szCs w:val="21"/>
          <w:highlight w:val="none"/>
        </w:rPr>
      </w:pPr>
      <w:r>
        <w:rPr>
          <w:rFonts w:hint="eastAsia" w:ascii="宋体" w:hAnsi="宋体" w:cs="宋体"/>
          <w:bCs/>
          <w:color w:val="auto"/>
          <w:szCs w:val="21"/>
          <w:highlight w:val="none"/>
        </w:rPr>
        <w:t>提出质疑的供应商（以下简称质疑供应商）应当是参与所质疑项目采购活动的供应商。</w:t>
      </w:r>
    </w:p>
    <w:p>
      <w:pPr>
        <w:numPr>
          <w:ilvl w:val="2"/>
          <w:numId w:val="67"/>
        </w:numPr>
        <w:autoSpaceDE w:val="0"/>
        <w:autoSpaceDN w:val="0"/>
        <w:adjustRightInd w:val="0"/>
        <w:snapToGrid w:val="0"/>
        <w:spacing w:line="360" w:lineRule="auto"/>
        <w:ind w:left="851" w:hanging="851"/>
        <w:rPr>
          <w:rFonts w:ascii="宋体" w:hAnsi="宋体" w:cs="宋体"/>
          <w:bCs/>
          <w:color w:val="auto"/>
          <w:szCs w:val="21"/>
          <w:highlight w:val="none"/>
        </w:rPr>
      </w:pPr>
      <w:r>
        <w:rPr>
          <w:rFonts w:hint="eastAsia" w:ascii="宋体" w:hAnsi="宋体" w:cs="宋体"/>
          <w:bCs/>
          <w:color w:val="auto"/>
          <w:szCs w:val="21"/>
          <w:highlight w:val="none"/>
        </w:rPr>
        <w:t>质疑期限：</w:t>
      </w:r>
    </w:p>
    <w:p>
      <w:pPr>
        <w:numPr>
          <w:ilvl w:val="3"/>
          <w:numId w:val="67"/>
        </w:numPr>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bCs/>
          <w:color w:val="auto"/>
          <w:szCs w:val="21"/>
          <w:highlight w:val="none"/>
        </w:rPr>
        <w:t>供应商认为</w:t>
      </w:r>
      <w:r>
        <w:rPr>
          <w:rFonts w:hint="eastAsia" w:ascii="宋体" w:hAnsi="宋体" w:cs="宋体"/>
          <w:bCs/>
          <w:color w:val="auto"/>
          <w:szCs w:val="21"/>
          <w:highlight w:val="none"/>
          <w:u w:val="double"/>
        </w:rPr>
        <w:t>招标文件的内容</w:t>
      </w:r>
      <w:r>
        <w:rPr>
          <w:rFonts w:hint="eastAsia" w:ascii="宋体" w:hAnsi="宋体" w:cs="宋体"/>
          <w:bCs/>
          <w:color w:val="auto"/>
          <w:szCs w:val="21"/>
          <w:highlight w:val="none"/>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pPr>
        <w:numPr>
          <w:ilvl w:val="3"/>
          <w:numId w:val="67"/>
        </w:numPr>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bCs/>
          <w:color w:val="auto"/>
          <w:szCs w:val="21"/>
          <w:highlight w:val="none"/>
        </w:rPr>
        <w:t>供应商认为</w:t>
      </w:r>
      <w:r>
        <w:rPr>
          <w:rFonts w:hint="eastAsia" w:ascii="宋体" w:hAnsi="宋体" w:cs="宋体"/>
          <w:bCs/>
          <w:color w:val="auto"/>
          <w:szCs w:val="21"/>
          <w:highlight w:val="none"/>
          <w:u w:val="double"/>
        </w:rPr>
        <w:t>采购过程</w:t>
      </w:r>
      <w:r>
        <w:rPr>
          <w:rFonts w:hint="eastAsia" w:ascii="宋体" w:hAnsi="宋体" w:cs="宋体"/>
          <w:bCs/>
          <w:color w:val="auto"/>
          <w:szCs w:val="21"/>
          <w:highlight w:val="none"/>
        </w:rPr>
        <w:t>损害其权益的，应在各采购程序环节结束之日起七个工作日内。</w:t>
      </w:r>
    </w:p>
    <w:p>
      <w:pPr>
        <w:numPr>
          <w:ilvl w:val="3"/>
          <w:numId w:val="67"/>
        </w:numPr>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bCs/>
          <w:color w:val="auto"/>
          <w:szCs w:val="21"/>
          <w:highlight w:val="none"/>
        </w:rPr>
        <w:t>供应商认为</w:t>
      </w:r>
      <w:r>
        <w:rPr>
          <w:rFonts w:hint="eastAsia" w:ascii="宋体" w:hAnsi="宋体" w:cs="宋体"/>
          <w:bCs/>
          <w:color w:val="auto"/>
          <w:szCs w:val="21"/>
          <w:highlight w:val="none"/>
          <w:u w:val="double"/>
        </w:rPr>
        <w:t>中标或者成交结果</w:t>
      </w:r>
      <w:r>
        <w:rPr>
          <w:rFonts w:hint="eastAsia" w:ascii="宋体" w:hAnsi="宋体" w:cs="宋体"/>
          <w:bCs/>
          <w:color w:val="auto"/>
          <w:szCs w:val="21"/>
          <w:highlight w:val="none"/>
        </w:rPr>
        <w:t>损害其权益的，应在中标或者成交结果公告期限届满之日起七个工作日内。</w:t>
      </w:r>
    </w:p>
    <w:p>
      <w:pPr>
        <w:numPr>
          <w:ilvl w:val="2"/>
          <w:numId w:val="67"/>
        </w:numPr>
        <w:autoSpaceDE w:val="0"/>
        <w:autoSpaceDN w:val="0"/>
        <w:adjustRightInd w:val="0"/>
        <w:snapToGrid w:val="0"/>
        <w:spacing w:line="360" w:lineRule="auto"/>
        <w:ind w:left="851" w:hanging="851"/>
        <w:rPr>
          <w:rFonts w:ascii="宋体" w:hAnsi="宋体" w:cs="宋体"/>
          <w:bCs/>
          <w:color w:val="auto"/>
          <w:szCs w:val="21"/>
          <w:highlight w:val="none"/>
        </w:rPr>
      </w:pPr>
      <w:r>
        <w:rPr>
          <w:rFonts w:hint="eastAsia" w:ascii="宋体" w:hAnsi="宋体" w:cs="宋体"/>
          <w:bCs/>
          <w:color w:val="auto"/>
          <w:szCs w:val="21"/>
          <w:highlight w:val="none"/>
        </w:rPr>
        <w:t>提交要求：</w:t>
      </w:r>
    </w:p>
    <w:p>
      <w:pPr>
        <w:numPr>
          <w:ilvl w:val="3"/>
          <w:numId w:val="67"/>
        </w:numPr>
        <w:autoSpaceDE w:val="0"/>
        <w:autoSpaceDN w:val="0"/>
        <w:adjustRightInd w:val="0"/>
        <w:snapToGrid w:val="0"/>
        <w:spacing w:line="360" w:lineRule="auto"/>
        <w:ind w:left="1078" w:hanging="1078"/>
        <w:rPr>
          <w:rFonts w:ascii="宋体" w:hAnsi="宋体" w:cs="宋体"/>
          <w:color w:val="auto"/>
          <w:szCs w:val="21"/>
          <w:highlight w:val="none"/>
        </w:rPr>
      </w:pPr>
      <w:r>
        <w:rPr>
          <w:rFonts w:hint="eastAsia" w:ascii="宋体" w:hAnsi="宋体" w:cs="宋体"/>
          <w:color w:val="auto"/>
          <w:szCs w:val="21"/>
          <w:highlight w:val="none"/>
        </w:rPr>
        <w:t>以书面形式（指加盖供应商公章的原件）向采购人或者采购代理机构一次性提出针对同一采购程序环节的质疑。</w:t>
      </w:r>
    </w:p>
    <w:p>
      <w:pPr>
        <w:numPr>
          <w:ilvl w:val="3"/>
          <w:numId w:val="67"/>
        </w:numPr>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bCs/>
          <w:color w:val="auto"/>
          <w:szCs w:val="21"/>
          <w:highlight w:val="none"/>
        </w:rPr>
        <w:t>质疑函应当包括下列内容：</w:t>
      </w:r>
    </w:p>
    <w:p>
      <w:pPr>
        <w:pStyle w:val="81"/>
        <w:numPr>
          <w:ilvl w:val="0"/>
          <w:numId w:val="68"/>
        </w:numPr>
        <w:tabs>
          <w:tab w:val="left" w:pos="425"/>
          <w:tab w:val="left" w:pos="851"/>
        </w:tabs>
        <w:autoSpaceDE w:val="0"/>
        <w:autoSpaceDN w:val="0"/>
        <w:adjustRightInd w:val="0"/>
        <w:snapToGrid w:val="0"/>
        <w:spacing w:line="360" w:lineRule="auto"/>
        <w:ind w:firstLineChars="0"/>
        <w:rPr>
          <w:rFonts w:ascii="宋体" w:hAnsi="宋体" w:cs="宋体"/>
          <w:bCs/>
          <w:color w:val="auto"/>
          <w:szCs w:val="21"/>
          <w:highlight w:val="none"/>
        </w:rPr>
      </w:pPr>
      <w:r>
        <w:rPr>
          <w:rFonts w:hint="eastAsia" w:ascii="宋体" w:hAnsi="宋体" w:cs="宋体"/>
          <w:bCs/>
          <w:color w:val="auto"/>
          <w:szCs w:val="21"/>
          <w:highlight w:val="none"/>
        </w:rPr>
        <w:t>供应商的姓名或者名称、地址、邮编、联系人及联系电话；</w:t>
      </w:r>
    </w:p>
    <w:p>
      <w:pPr>
        <w:pStyle w:val="81"/>
        <w:numPr>
          <w:ilvl w:val="0"/>
          <w:numId w:val="68"/>
        </w:numPr>
        <w:tabs>
          <w:tab w:val="left" w:pos="425"/>
          <w:tab w:val="left" w:pos="851"/>
        </w:tabs>
        <w:autoSpaceDE w:val="0"/>
        <w:autoSpaceDN w:val="0"/>
        <w:adjustRightInd w:val="0"/>
        <w:snapToGrid w:val="0"/>
        <w:spacing w:line="360" w:lineRule="auto"/>
        <w:ind w:firstLineChars="0"/>
        <w:rPr>
          <w:rFonts w:ascii="宋体" w:hAnsi="宋体" w:cs="宋体"/>
          <w:bCs/>
          <w:color w:val="auto"/>
          <w:szCs w:val="21"/>
          <w:highlight w:val="none"/>
        </w:rPr>
      </w:pPr>
      <w:r>
        <w:rPr>
          <w:rFonts w:hint="eastAsia" w:ascii="宋体" w:hAnsi="宋体" w:cs="宋体"/>
          <w:bCs/>
          <w:color w:val="auto"/>
          <w:szCs w:val="21"/>
          <w:highlight w:val="none"/>
        </w:rPr>
        <w:t>质疑项目的名称和项目编号，若对项目的某一分包进行质疑，应列明具体的包组号；</w:t>
      </w:r>
    </w:p>
    <w:p>
      <w:pPr>
        <w:pStyle w:val="81"/>
        <w:numPr>
          <w:ilvl w:val="0"/>
          <w:numId w:val="68"/>
        </w:numPr>
        <w:tabs>
          <w:tab w:val="left" w:pos="425"/>
          <w:tab w:val="left" w:pos="851"/>
        </w:tabs>
        <w:autoSpaceDE w:val="0"/>
        <w:autoSpaceDN w:val="0"/>
        <w:adjustRightInd w:val="0"/>
        <w:snapToGrid w:val="0"/>
        <w:spacing w:line="360" w:lineRule="auto"/>
        <w:ind w:firstLineChars="0"/>
        <w:rPr>
          <w:rFonts w:ascii="宋体" w:hAnsi="宋体" w:cs="宋体"/>
          <w:bCs/>
          <w:color w:val="auto"/>
          <w:szCs w:val="21"/>
          <w:highlight w:val="none"/>
        </w:rPr>
      </w:pPr>
      <w:r>
        <w:rPr>
          <w:rFonts w:hint="eastAsia" w:ascii="宋体" w:hAnsi="宋体" w:cs="宋体"/>
          <w:bCs/>
          <w:color w:val="auto"/>
          <w:szCs w:val="21"/>
          <w:highlight w:val="none"/>
        </w:rPr>
        <w:t>具体、明确的质疑事项和与质疑事项相关的请求；</w:t>
      </w:r>
    </w:p>
    <w:p>
      <w:pPr>
        <w:pStyle w:val="81"/>
        <w:numPr>
          <w:ilvl w:val="0"/>
          <w:numId w:val="68"/>
        </w:numPr>
        <w:tabs>
          <w:tab w:val="left" w:pos="425"/>
          <w:tab w:val="left" w:pos="851"/>
        </w:tabs>
        <w:autoSpaceDE w:val="0"/>
        <w:autoSpaceDN w:val="0"/>
        <w:adjustRightInd w:val="0"/>
        <w:snapToGrid w:val="0"/>
        <w:spacing w:line="360" w:lineRule="auto"/>
        <w:ind w:firstLineChars="0"/>
        <w:rPr>
          <w:rFonts w:ascii="宋体" w:hAnsi="宋体" w:cs="宋体"/>
          <w:bCs/>
          <w:color w:val="auto"/>
          <w:szCs w:val="21"/>
          <w:highlight w:val="none"/>
        </w:rPr>
      </w:pPr>
      <w:r>
        <w:rPr>
          <w:rFonts w:hint="eastAsia" w:ascii="宋体" w:hAnsi="宋体" w:cs="宋体"/>
          <w:bCs/>
          <w:color w:val="auto"/>
          <w:szCs w:val="21"/>
          <w:highlight w:val="none"/>
        </w:rPr>
        <w:t>事实依据；</w:t>
      </w:r>
    </w:p>
    <w:p>
      <w:pPr>
        <w:pStyle w:val="81"/>
        <w:numPr>
          <w:ilvl w:val="0"/>
          <w:numId w:val="68"/>
        </w:numPr>
        <w:tabs>
          <w:tab w:val="left" w:pos="425"/>
          <w:tab w:val="left" w:pos="851"/>
        </w:tabs>
        <w:autoSpaceDE w:val="0"/>
        <w:autoSpaceDN w:val="0"/>
        <w:adjustRightInd w:val="0"/>
        <w:snapToGrid w:val="0"/>
        <w:spacing w:line="360" w:lineRule="auto"/>
        <w:ind w:firstLineChars="0"/>
        <w:rPr>
          <w:rFonts w:ascii="宋体" w:hAnsi="宋体" w:cs="宋体"/>
          <w:bCs/>
          <w:color w:val="auto"/>
          <w:szCs w:val="21"/>
          <w:highlight w:val="none"/>
        </w:rPr>
      </w:pPr>
      <w:r>
        <w:rPr>
          <w:rFonts w:hint="eastAsia" w:ascii="宋体" w:hAnsi="宋体" w:cs="宋体"/>
          <w:bCs/>
          <w:color w:val="auto"/>
          <w:szCs w:val="21"/>
          <w:highlight w:val="none"/>
        </w:rPr>
        <w:t>必要的法律依据；</w:t>
      </w:r>
    </w:p>
    <w:p>
      <w:pPr>
        <w:pStyle w:val="81"/>
        <w:numPr>
          <w:ilvl w:val="0"/>
          <w:numId w:val="68"/>
        </w:numPr>
        <w:tabs>
          <w:tab w:val="left" w:pos="425"/>
          <w:tab w:val="left" w:pos="851"/>
        </w:tabs>
        <w:autoSpaceDE w:val="0"/>
        <w:autoSpaceDN w:val="0"/>
        <w:adjustRightInd w:val="0"/>
        <w:snapToGrid w:val="0"/>
        <w:spacing w:line="360" w:lineRule="auto"/>
        <w:ind w:firstLineChars="0"/>
        <w:rPr>
          <w:rFonts w:ascii="宋体" w:hAnsi="宋体" w:cs="宋体"/>
          <w:bCs/>
          <w:color w:val="auto"/>
          <w:szCs w:val="21"/>
          <w:highlight w:val="none"/>
        </w:rPr>
      </w:pPr>
      <w:r>
        <w:rPr>
          <w:rFonts w:hint="eastAsia" w:ascii="宋体" w:hAnsi="宋体" w:cs="宋体"/>
          <w:bCs/>
          <w:color w:val="auto"/>
          <w:szCs w:val="21"/>
          <w:highlight w:val="none"/>
        </w:rPr>
        <w:t>提出质疑的日期。</w:t>
      </w:r>
    </w:p>
    <w:p>
      <w:pPr>
        <w:numPr>
          <w:ilvl w:val="3"/>
          <w:numId w:val="67"/>
        </w:numPr>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bCs/>
          <w:color w:val="auto"/>
          <w:szCs w:val="21"/>
          <w:highlight w:val="none"/>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pPr>
        <w:numPr>
          <w:ilvl w:val="3"/>
          <w:numId w:val="67"/>
        </w:numPr>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bCs/>
          <w:color w:val="auto"/>
          <w:szCs w:val="21"/>
          <w:highlight w:val="none"/>
        </w:rPr>
        <w:t>以联合体形式参加政府采购活动的，其质疑应当由组成联合体的所有供应商共同提出。</w:t>
      </w:r>
    </w:p>
    <w:p>
      <w:pPr>
        <w:numPr>
          <w:ilvl w:val="3"/>
          <w:numId w:val="67"/>
        </w:numPr>
        <w:autoSpaceDE w:val="0"/>
        <w:autoSpaceDN w:val="0"/>
        <w:adjustRightInd w:val="0"/>
        <w:snapToGrid w:val="0"/>
        <w:spacing w:line="360" w:lineRule="auto"/>
        <w:ind w:left="1078" w:hanging="1078"/>
        <w:rPr>
          <w:rFonts w:ascii="宋体" w:hAnsi="宋体" w:cs="宋体"/>
          <w:snapToGrid w:val="0"/>
          <w:color w:val="auto"/>
          <w:szCs w:val="21"/>
          <w:highlight w:val="none"/>
        </w:rPr>
      </w:pPr>
      <w:r>
        <w:rPr>
          <w:rFonts w:hint="eastAsia" w:ascii="宋体" w:hAnsi="宋体" w:cs="宋体"/>
          <w:color w:val="auto"/>
          <w:szCs w:val="21"/>
          <w:highlight w:val="none"/>
        </w:rPr>
        <w:t>供应商捏造事实、提供虚假材料或者以非法手段取得证明材料不能作为质疑的证明材料</w:t>
      </w:r>
      <w:r>
        <w:rPr>
          <w:rFonts w:hint="eastAsia" w:ascii="宋体" w:hAnsi="宋体" w:cs="宋体"/>
          <w:snapToGrid w:val="0"/>
          <w:color w:val="auto"/>
          <w:szCs w:val="21"/>
          <w:highlight w:val="none"/>
        </w:rPr>
        <w:t>。</w:t>
      </w:r>
    </w:p>
    <w:p>
      <w:pPr>
        <w:numPr>
          <w:ilvl w:val="3"/>
          <w:numId w:val="67"/>
        </w:numPr>
        <w:tabs>
          <w:tab w:val="left" w:pos="1134"/>
        </w:tabs>
        <w:autoSpaceDE w:val="0"/>
        <w:autoSpaceDN w:val="0"/>
        <w:adjustRightInd w:val="0"/>
        <w:snapToGrid w:val="0"/>
        <w:spacing w:line="360" w:lineRule="auto"/>
        <w:ind w:left="1078" w:hanging="1078"/>
        <w:rPr>
          <w:rFonts w:ascii="宋体" w:hAnsi="宋体" w:cs="宋体"/>
          <w:bCs/>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lang w:eastAsia="zh-TW"/>
        </w:rPr>
        <w:t>采购人或者采购代理机构</w:t>
      </w:r>
      <w:r>
        <w:rPr>
          <w:rFonts w:hint="eastAsia" w:ascii="宋体" w:hAnsi="宋体" w:cs="宋体"/>
          <w:color w:val="auto"/>
          <w:szCs w:val="21"/>
          <w:highlight w:val="none"/>
        </w:rPr>
        <w:t>在收到质疑函后7个工作日内作出答复，并以书面形式通知质疑供应商和其他有关供应商，但答复内容不涉及商业秘密。</w:t>
      </w:r>
    </w:p>
    <w:p>
      <w:pPr>
        <w:numPr>
          <w:ilvl w:val="2"/>
          <w:numId w:val="67"/>
        </w:numPr>
        <w:autoSpaceDE w:val="0"/>
        <w:autoSpaceDN w:val="0"/>
        <w:adjustRightInd w:val="0"/>
        <w:snapToGrid w:val="0"/>
        <w:spacing w:line="360" w:lineRule="auto"/>
        <w:ind w:left="851" w:hanging="851"/>
        <w:rPr>
          <w:rFonts w:ascii="宋体" w:hAnsi="宋体" w:cs="宋体"/>
          <w:b/>
          <w:bCs/>
          <w:color w:val="auto"/>
          <w:szCs w:val="21"/>
          <w:highlight w:val="none"/>
        </w:rPr>
      </w:pPr>
      <w:r>
        <w:rPr>
          <w:rFonts w:hint="eastAsia" w:ascii="宋体" w:hAnsi="宋体" w:cs="宋体"/>
          <w:color w:val="auto"/>
          <w:szCs w:val="21"/>
          <w:highlight w:val="none"/>
        </w:rPr>
        <w:t>询问、质疑的期间开始之日，不计算在期间内。期间届满的最后一日是节假日的，以节假日后的第一日为期间届满的日期。期间不包括在途时间，询问和质疑文书在期满前交邮的，不算过期。</w:t>
      </w:r>
    </w:p>
    <w:p>
      <w:pPr>
        <w:numPr>
          <w:ilvl w:val="2"/>
          <w:numId w:val="67"/>
        </w:numPr>
        <w:autoSpaceDE w:val="0"/>
        <w:autoSpaceDN w:val="0"/>
        <w:adjustRightInd w:val="0"/>
        <w:snapToGrid w:val="0"/>
        <w:spacing w:line="360" w:lineRule="auto"/>
        <w:ind w:left="851" w:hanging="851"/>
        <w:rPr>
          <w:rFonts w:ascii="宋体" w:hAnsi="宋体" w:cs="宋体"/>
          <w:b/>
          <w:bCs/>
          <w:color w:val="auto"/>
          <w:szCs w:val="21"/>
          <w:highlight w:val="none"/>
        </w:rPr>
      </w:pPr>
      <w:r>
        <w:rPr>
          <w:rFonts w:hint="eastAsia" w:ascii="宋体" w:hAnsi="宋体" w:cs="宋体"/>
          <w:color w:val="auto"/>
          <w:szCs w:val="21"/>
          <w:highlight w:val="none"/>
        </w:rPr>
        <w:t>对于捏造事实、滥用维权扰乱采购秩序的恶意质疑者或举证不全查无实据被驳回次数在一年内达三次以上，将纳入不良行为记录名单并承担相应的法律责任。</w:t>
      </w:r>
    </w:p>
    <w:p>
      <w:pPr>
        <w:numPr>
          <w:ilvl w:val="2"/>
          <w:numId w:val="67"/>
        </w:numPr>
        <w:autoSpaceDE w:val="0"/>
        <w:autoSpaceDN w:val="0"/>
        <w:adjustRightInd w:val="0"/>
        <w:snapToGrid w:val="0"/>
        <w:spacing w:line="360" w:lineRule="auto"/>
        <w:ind w:left="851" w:hanging="851"/>
        <w:rPr>
          <w:rFonts w:ascii="宋体" w:hAnsi="宋体" w:cs="宋体"/>
          <w:color w:val="auto"/>
          <w:szCs w:val="21"/>
          <w:highlight w:val="none"/>
        </w:rPr>
      </w:pPr>
      <w:r>
        <w:rPr>
          <w:rFonts w:hint="eastAsia" w:ascii="宋体" w:hAnsi="宋体" w:cs="宋体"/>
          <w:color w:val="auto"/>
          <w:szCs w:val="21"/>
          <w:highlight w:val="none"/>
        </w:rPr>
        <w:t>采购代理机构接收质疑函的联系部门、联系电话和通讯地址等信息详见第二章</w:t>
      </w:r>
      <w:r>
        <w:rPr>
          <w:rFonts w:hint="eastAsia" w:ascii="宋体" w:hAnsi="宋体" w:cs="宋体"/>
          <w:b/>
          <w:color w:val="auto"/>
          <w:szCs w:val="21"/>
          <w:highlight w:val="none"/>
        </w:rPr>
        <w:t>投标资料表</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投诉</w:t>
      </w:r>
    </w:p>
    <w:p>
      <w:pPr>
        <w:numPr>
          <w:ilvl w:val="2"/>
          <w:numId w:val="67"/>
        </w:numPr>
        <w:autoSpaceDE w:val="0"/>
        <w:autoSpaceDN w:val="0"/>
        <w:adjustRightInd w:val="0"/>
        <w:snapToGrid w:val="0"/>
        <w:spacing w:line="360" w:lineRule="auto"/>
        <w:ind w:left="851" w:hanging="851"/>
        <w:rPr>
          <w:rFonts w:ascii="宋体" w:hAnsi="宋体" w:cs="宋体"/>
          <w:snapToGrid w:val="0"/>
          <w:color w:val="auto"/>
          <w:szCs w:val="21"/>
          <w:highlight w:val="none"/>
        </w:rPr>
      </w:pPr>
      <w:r>
        <w:rPr>
          <w:rFonts w:hint="eastAsia" w:ascii="宋体" w:hAnsi="宋体" w:cs="宋体"/>
          <w:color w:val="auto"/>
          <w:szCs w:val="21"/>
          <w:highlight w:val="none"/>
        </w:rPr>
        <w:t>质疑供应商对</w:t>
      </w:r>
      <w:r>
        <w:rPr>
          <w:rFonts w:hint="eastAsia" w:ascii="宋体" w:hAnsi="宋体" w:cs="宋体"/>
          <w:color w:val="auto"/>
          <w:szCs w:val="21"/>
          <w:highlight w:val="none"/>
          <w:lang w:eastAsia="zh-TW"/>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TW"/>
        </w:rPr>
        <w:t>采购代理机构</w:t>
      </w:r>
      <w:r>
        <w:rPr>
          <w:rFonts w:hint="eastAsia" w:ascii="宋体" w:hAnsi="宋体" w:cs="宋体"/>
          <w:color w:val="auto"/>
          <w:szCs w:val="21"/>
          <w:highlight w:val="none"/>
        </w:rPr>
        <w:t>的质疑答复不满意，或</w:t>
      </w:r>
      <w:r>
        <w:rPr>
          <w:rFonts w:hint="eastAsia" w:ascii="宋体" w:hAnsi="宋体" w:cs="宋体"/>
          <w:color w:val="auto"/>
          <w:szCs w:val="21"/>
          <w:highlight w:val="none"/>
          <w:lang w:eastAsia="zh-TW"/>
        </w:rPr>
        <w:t>采购人或者采购代理机构</w:t>
      </w:r>
      <w:r>
        <w:rPr>
          <w:rFonts w:hint="eastAsia" w:ascii="宋体" w:hAnsi="宋体" w:cs="宋体"/>
          <w:color w:val="auto"/>
          <w:szCs w:val="21"/>
          <w:highlight w:val="none"/>
        </w:rPr>
        <w:t>未在规定期限内作出答复的，可以在答复期满后十五个工作日内向招标文件规定的政府采购监督管理部门提起投诉。</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18" w:name="_Toc22469"/>
      <w:bookmarkStart w:id="419" w:name="_Toc25571"/>
      <w:bookmarkStart w:id="420" w:name="_Toc520812047"/>
      <w:bookmarkStart w:id="421" w:name="_Toc20316"/>
      <w:r>
        <w:rPr>
          <w:rFonts w:hint="eastAsia" w:ascii="宋体" w:hAnsi="宋体" w:cs="宋体"/>
          <w:b/>
          <w:bCs/>
          <w:color w:val="auto"/>
          <w:szCs w:val="21"/>
          <w:highlight w:val="none"/>
        </w:rPr>
        <w:t>中标通知书</w:t>
      </w:r>
      <w:bookmarkEnd w:id="418"/>
      <w:bookmarkEnd w:id="419"/>
      <w:bookmarkEnd w:id="420"/>
      <w:bookmarkEnd w:id="421"/>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中标人确定后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采购代理机构将在</w:t>
      </w:r>
      <w:r>
        <w:rPr>
          <w:rFonts w:hint="eastAsia" w:ascii="宋体" w:hAnsi="宋体" w:cs="宋体"/>
          <w:color w:val="auto"/>
          <w:szCs w:val="21"/>
          <w:highlight w:val="none"/>
        </w:rPr>
        <w:t>发布采购信息公告的媒体</w:t>
      </w:r>
      <w:r>
        <w:rPr>
          <w:rFonts w:hint="eastAsia" w:ascii="宋体" w:hAnsi="宋体" w:cs="宋体"/>
          <w:color w:val="auto"/>
          <w:szCs w:val="21"/>
          <w:highlight w:val="none"/>
          <w:lang w:eastAsia="zh-TW"/>
        </w:rPr>
        <w:t>上发布中标公告，并向中标人发出《中标通知书》，向采购人及未中标人发出《招标结果通知书》，《中标通知书》对中标人和采购人具有同等法律效力。</w:t>
      </w:r>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《中标通知书》将作为授予合同资格的合法依据，是合同的一个组成部分。</w:t>
      </w:r>
    </w:p>
    <w:p>
      <w:pPr>
        <w:numPr>
          <w:ilvl w:val="0"/>
          <w:numId w:val="66"/>
        </w:numPr>
        <w:autoSpaceDE w:val="0"/>
        <w:autoSpaceDN w:val="0"/>
        <w:adjustRightInd w:val="0"/>
        <w:snapToGrid w:val="0"/>
        <w:spacing w:beforeLines="100" w:afterLines="100" w:line="360" w:lineRule="auto"/>
        <w:ind w:left="1012" w:hanging="1012" w:hangingChars="360"/>
        <w:jc w:val="center"/>
        <w:outlineLvl w:val="1"/>
        <w:rPr>
          <w:rFonts w:ascii="宋体" w:hAnsi="宋体" w:cs="宋体"/>
          <w:b/>
          <w:color w:val="auto"/>
          <w:sz w:val="28"/>
          <w:szCs w:val="28"/>
          <w:highlight w:val="none"/>
          <w:lang w:eastAsia="zh-TW"/>
        </w:rPr>
      </w:pPr>
      <w:bookmarkStart w:id="422" w:name="_Toc31006"/>
      <w:bookmarkStart w:id="423" w:name="_Toc520812048"/>
      <w:bookmarkStart w:id="424" w:name="_Toc21555"/>
      <w:bookmarkStart w:id="425" w:name="_Toc435516655"/>
      <w:bookmarkStart w:id="426" w:name="_Toc16488"/>
      <w:bookmarkStart w:id="427" w:name="_Toc435174938"/>
      <w:bookmarkStart w:id="428" w:name="_Toc438223141"/>
      <w:r>
        <w:rPr>
          <w:rFonts w:hint="eastAsia" w:ascii="宋体" w:hAnsi="宋体" w:cs="宋体"/>
          <w:b/>
          <w:color w:val="auto"/>
          <w:sz w:val="28"/>
          <w:szCs w:val="28"/>
          <w:highlight w:val="none"/>
          <w:lang w:eastAsia="zh-TW"/>
        </w:rPr>
        <w:t>授予合同</w:t>
      </w:r>
      <w:bookmarkEnd w:id="422"/>
      <w:bookmarkEnd w:id="423"/>
      <w:bookmarkEnd w:id="424"/>
      <w:bookmarkEnd w:id="425"/>
      <w:bookmarkEnd w:id="426"/>
      <w:bookmarkEnd w:id="427"/>
      <w:bookmarkEnd w:id="428"/>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29" w:name="_Toc8392"/>
      <w:bookmarkStart w:id="430" w:name="_Toc12803"/>
      <w:bookmarkStart w:id="431" w:name="_Toc520812049"/>
      <w:bookmarkStart w:id="432" w:name="_Toc16825"/>
      <w:r>
        <w:rPr>
          <w:rFonts w:hint="eastAsia" w:ascii="宋体" w:hAnsi="宋体" w:cs="宋体"/>
          <w:b/>
          <w:bCs/>
          <w:color w:val="auto"/>
          <w:szCs w:val="21"/>
          <w:highlight w:val="none"/>
        </w:rPr>
        <w:t>合同的订立</w:t>
      </w:r>
      <w:bookmarkEnd w:id="429"/>
      <w:bookmarkEnd w:id="430"/>
      <w:bookmarkEnd w:id="431"/>
      <w:bookmarkEnd w:id="432"/>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采购人应当自中标通知书发出之日起三十日内，按照招标文件和中标人投标文件的约定，与中标人签订书面合同。所签订的合同不得对招标文件和中标人投标文件作实质性修改</w:t>
      </w:r>
      <w:r>
        <w:rPr>
          <w:rFonts w:hint="eastAsia" w:ascii="宋体" w:hAnsi="宋体" w:cs="宋体"/>
          <w:color w:val="auto"/>
          <w:szCs w:val="21"/>
          <w:highlight w:val="none"/>
        </w:rPr>
        <w:t>。</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采购人或者采购代理机构</w:t>
      </w:r>
      <w:r>
        <w:rPr>
          <w:rFonts w:hint="eastAsia" w:ascii="宋体" w:hAnsi="宋体" w:cs="宋体"/>
          <w:color w:val="auto"/>
          <w:szCs w:val="21"/>
          <w:highlight w:val="none"/>
        </w:rPr>
        <w:t xml:space="preserve">不得向中标人提出任何不合理的要求，作为签订合同的条件，不得与中标人私下订立背离合同实质性内容的协议。 </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自合同签订之日起2个工作日内，采购人应将合同在指定的媒体上公告，但合同中涉及国家秘密、商业秘密的内容除外。</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采购</w:t>
      </w:r>
      <w:r>
        <w:rPr>
          <w:rFonts w:hint="eastAsia" w:ascii="宋体" w:hAnsi="宋体" w:cs="宋体"/>
          <w:color w:val="auto"/>
          <w:szCs w:val="21"/>
          <w:highlight w:val="none"/>
        </w:rPr>
        <w:t>合同签订之日起七</w:t>
      </w:r>
      <w:r>
        <w:rPr>
          <w:rFonts w:hint="eastAsia" w:ascii="宋体" w:hAnsi="宋体" w:cs="宋体"/>
          <w:color w:val="auto"/>
          <w:szCs w:val="21"/>
          <w:highlight w:val="none"/>
          <w:lang w:eastAsia="zh-TW"/>
        </w:rPr>
        <w:t>个工作日内，采购人应将采购合同副本报监督管理部门备案</w:t>
      </w:r>
      <w:r>
        <w:rPr>
          <w:rFonts w:hint="eastAsia" w:ascii="宋体" w:hAnsi="宋体" w:cs="宋体"/>
          <w:color w:val="auto"/>
          <w:szCs w:val="21"/>
          <w:highlight w:val="none"/>
        </w:rPr>
        <w:t>和有关部门备案</w:t>
      </w:r>
      <w:r>
        <w:rPr>
          <w:rFonts w:hint="eastAsia" w:ascii="宋体" w:hAnsi="宋体" w:cs="宋体"/>
          <w:color w:val="auto"/>
          <w:szCs w:val="21"/>
          <w:highlight w:val="none"/>
          <w:lang w:eastAsia="zh-TW"/>
        </w:rPr>
        <w:t>。</w:t>
      </w:r>
    </w:p>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33" w:name="_Toc20578"/>
      <w:bookmarkStart w:id="434" w:name="_Toc520812050"/>
      <w:bookmarkStart w:id="435" w:name="_Toc22204"/>
      <w:bookmarkStart w:id="436" w:name="_Toc14172"/>
      <w:r>
        <w:rPr>
          <w:rFonts w:hint="eastAsia" w:ascii="宋体" w:hAnsi="宋体" w:cs="宋体"/>
          <w:b/>
          <w:bCs/>
          <w:color w:val="auto"/>
          <w:szCs w:val="21"/>
          <w:highlight w:val="none"/>
        </w:rPr>
        <w:t>合同的履行</w:t>
      </w:r>
      <w:bookmarkEnd w:id="433"/>
      <w:bookmarkEnd w:id="434"/>
      <w:bookmarkEnd w:id="435"/>
      <w:bookmarkEnd w:id="436"/>
    </w:p>
    <w:p>
      <w:pPr>
        <w:numPr>
          <w:ilvl w:val="1"/>
          <w:numId w:val="67"/>
        </w:numPr>
        <w:autoSpaceDE w:val="0"/>
        <w:autoSpaceDN w:val="0"/>
        <w:adjustRightInd w:val="0"/>
        <w:snapToGrid w:val="0"/>
        <w:spacing w:line="360" w:lineRule="auto"/>
        <w:rPr>
          <w:rFonts w:ascii="宋体" w:hAnsi="宋体" w:cs="宋体"/>
          <w:b/>
          <w:bCs/>
          <w:color w:val="auto"/>
          <w:szCs w:val="21"/>
          <w:highlight w:val="none"/>
        </w:rPr>
      </w:pPr>
      <w:bookmarkStart w:id="437" w:name="_Toc520812051"/>
      <w:r>
        <w:rPr>
          <w:rFonts w:hint="eastAsia" w:ascii="宋体" w:hAnsi="宋体" w:cs="宋体"/>
          <w:color w:val="auto"/>
          <w:szCs w:val="21"/>
          <w:highlight w:val="none"/>
          <w:lang w:eastAsia="zh-TW"/>
        </w:rPr>
        <w:t>政府采购合同订立后，合同各方不得擅自变更、中止或者终止合同。政府采购合同需要变更的，采购人应将有关合同变更内容，以书面形式报监督管理部门备案；因特殊情况需要中止或终止合同的，采购人应将中止或终止合同的理由以及相应措施，以书面形式报监督管理部门备案。</w:t>
      </w:r>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lang w:eastAsia="zh-TW"/>
        </w:rPr>
        <w:t>合同履行中，采购人需追加与合同标的相同的货物、工程或者服务的，在不改变合同其他条款的前提下，可以与供应商签订补充合同，但所补充合同的采购金额不得超过原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如《投标须知前附表》有要求，中标人在收到采购代理机构的中标通知书后三十（30）天内，应按照合同条款的规定，采用招标文件中提供的履约保证金保函格式或采购人可以接受的其它形式向采购人提交履约保证金。如果中标人不按规定向采购人提交履约担保，采购人将有充分的理由取消其中标资格并不予退还其投标保证金。 </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为进一步发挥政府采购政策功能作用，支持和促进中小企业发展，有效缓解企业资金短缺压力，根据政府采购信用担保相关政策的精神，本项目欢迎供应商使用融资担保手段，并由试点地区的专业担保机构作为中标供应商向当地金融机构融资授信的承办机构。 </w:t>
      </w:r>
    </w:p>
    <w:bookmarkEnd w:id="437"/>
    <w:p>
      <w:pPr>
        <w:numPr>
          <w:ilvl w:val="0"/>
          <w:numId w:val="67"/>
        </w:numPr>
        <w:autoSpaceDE w:val="0"/>
        <w:autoSpaceDN w:val="0"/>
        <w:adjustRightInd w:val="0"/>
        <w:snapToGrid w:val="0"/>
        <w:spacing w:line="360" w:lineRule="auto"/>
        <w:ind w:left="449" w:hanging="449" w:hangingChars="213"/>
        <w:outlineLvl w:val="2"/>
        <w:rPr>
          <w:rFonts w:ascii="宋体" w:hAnsi="宋体" w:cs="宋体"/>
          <w:b/>
          <w:bCs/>
          <w:color w:val="auto"/>
          <w:szCs w:val="21"/>
          <w:highlight w:val="none"/>
        </w:rPr>
      </w:pPr>
      <w:bookmarkStart w:id="438" w:name="_Toc18911"/>
      <w:r>
        <w:rPr>
          <w:rFonts w:hint="eastAsia" w:ascii="宋体" w:hAnsi="宋体" w:cs="宋体"/>
          <w:b/>
          <w:bCs/>
          <w:color w:val="auto"/>
          <w:szCs w:val="21"/>
          <w:highlight w:val="none"/>
        </w:rPr>
        <w:t>采购代理服务费</w:t>
      </w:r>
      <w:bookmarkEnd w:id="438"/>
    </w:p>
    <w:p>
      <w:pPr>
        <w:numPr>
          <w:ilvl w:val="1"/>
          <w:numId w:val="67"/>
        </w:numPr>
        <w:autoSpaceDE w:val="0"/>
        <w:autoSpaceDN w:val="0"/>
        <w:adjustRightInd w:val="0"/>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中标人应按照招标文件</w:t>
      </w:r>
      <w:r>
        <w:rPr>
          <w:rFonts w:hint="eastAsia" w:ascii="宋体" w:hAnsi="宋体" w:cs="宋体"/>
          <w:b/>
          <w:color w:val="auto"/>
          <w:szCs w:val="21"/>
          <w:highlight w:val="none"/>
        </w:rPr>
        <w:t>投标资料表</w:t>
      </w:r>
      <w:r>
        <w:rPr>
          <w:rFonts w:hint="eastAsia" w:ascii="宋体" w:hAnsi="宋体" w:cs="宋体"/>
          <w:color w:val="auto"/>
          <w:szCs w:val="21"/>
          <w:highlight w:val="none"/>
        </w:rPr>
        <w:t>中的规定缴纳采购代理服务费。否则，不予退还其投标保证金。</w:t>
      </w:r>
    </w:p>
    <w:p>
      <w:pPr>
        <w:numPr>
          <w:ilvl w:val="1"/>
          <w:numId w:val="6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服务费按差额定率累进法计算。</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76"/>
        <w:gridCol w:w="3232"/>
        <w:gridCol w:w="3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502" w:type="pct"/>
          </w:tcPr>
          <w:p>
            <w:pPr>
              <w:snapToGrid w:val="0"/>
              <w:ind w:firstLine="1995" w:firstLineChars="950"/>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15875</wp:posOffset>
                      </wp:positionV>
                      <wp:extent cx="1776095" cy="340360"/>
                      <wp:effectExtent l="0" t="0" r="0" b="0"/>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776095" cy="34036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5pt;margin-top:1.25pt;height:26.8pt;width:139.85pt;z-index:251659264;mso-width-relative:page;mso-height-relative:page;" filled="f" stroked="t" coordsize="21600,21600" o:gfxdata="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MtBb9cAAAAIAQAADwAAAAAAAAABACAAAAAiAAAAZHJzL2Rvd25yZXYueG1sUEsBAhQAFAAA&#10;AAgAh07iQFo1oKvwAQAAvQMAAA4AAAAAAAAAAQAgAAAAJgEAAGRycy9lMm9Eb2MueG1sUEsFBgAA&#10;AAAGAAYAWQEAAIg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费率</w:t>
            </w:r>
          </w:p>
          <w:p>
            <w:pPr>
              <w:snapToGrid w:val="0"/>
              <w:rPr>
                <w:rFonts w:ascii="宋体" w:hAnsi="宋体" w:cs="宋体"/>
                <w:color w:val="auto"/>
                <w:szCs w:val="21"/>
                <w:highlight w:val="none"/>
              </w:rPr>
            </w:pPr>
            <w:r>
              <w:rPr>
                <w:rFonts w:hint="eastAsia" w:ascii="宋体" w:hAnsi="宋体" w:cs="宋体"/>
                <w:bCs/>
                <w:color w:val="auto"/>
                <w:szCs w:val="21"/>
                <w:highlight w:val="none"/>
              </w:rPr>
              <w:t>中标金额</w:t>
            </w:r>
          </w:p>
        </w:tc>
        <w:tc>
          <w:tcPr>
            <w:tcW w:w="1748"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货物招标</w:t>
            </w:r>
          </w:p>
        </w:tc>
        <w:tc>
          <w:tcPr>
            <w:tcW w:w="1748" w:type="pct"/>
            <w:vAlign w:val="center"/>
          </w:tcPr>
          <w:p>
            <w:pPr>
              <w:snapToGrid w:val="0"/>
              <w:jc w:val="center"/>
              <w:rPr>
                <w:rFonts w:ascii="宋体" w:hAnsi="宋体" w:cs="宋体"/>
                <w:color w:val="auto"/>
                <w:szCs w:val="21"/>
                <w:highlight w:val="none"/>
              </w:rPr>
            </w:pPr>
            <w:r>
              <w:rPr>
                <w:rFonts w:hint="eastAsia" w:ascii="宋体" w:hAnsi="宋体" w:cs="宋体"/>
                <w:bCs/>
                <w:color w:val="auto"/>
                <w:szCs w:val="21"/>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bCs/>
                <w:color w:val="auto"/>
                <w:szCs w:val="21"/>
                <w:highlight w:val="none"/>
              </w:rPr>
            </w:pPr>
            <w:r>
              <w:rPr>
                <w:rFonts w:hint="eastAsia" w:ascii="宋体" w:hAnsi="宋体" w:cs="宋体"/>
                <w:color w:val="auto"/>
                <w:szCs w:val="21"/>
                <w:highlight w:val="none"/>
              </w:rPr>
              <w:t>100万元以下</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100～500万元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500～1000万元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1000～5000万元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0.5%</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1～5亿元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5～10亿元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10～50亿元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50～100亿元</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150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100亿以上</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748"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0.004%</w:t>
            </w:r>
          </w:p>
        </w:tc>
      </w:tr>
    </w:tbl>
    <w:p>
      <w:pPr>
        <w:snapToGrid w:val="0"/>
        <w:spacing w:beforeLines="50" w:line="360" w:lineRule="auto"/>
        <w:rPr>
          <w:rFonts w:ascii="宋体" w:hAnsi="宋体" w:cs="宋体"/>
          <w:color w:val="auto"/>
          <w:szCs w:val="21"/>
          <w:highlight w:val="none"/>
        </w:rPr>
      </w:pPr>
      <w:r>
        <w:rPr>
          <w:rFonts w:hint="eastAsia" w:ascii="宋体" w:hAnsi="宋体" w:cs="宋体"/>
          <w:color w:val="auto"/>
          <w:szCs w:val="21"/>
          <w:highlight w:val="none"/>
        </w:rPr>
        <w:t>例如：某货物招标中标金额为850万元，计算招标代理服务收费额如下：</w:t>
      </w:r>
    </w:p>
    <w:p>
      <w:pPr>
        <w:snapToGrid w:val="0"/>
        <w:spacing w:line="360" w:lineRule="auto"/>
        <w:ind w:left="210" w:leftChars="100"/>
        <w:jc w:val="left"/>
        <w:rPr>
          <w:rFonts w:ascii="宋体" w:hAnsi="宋体" w:cs="宋体"/>
          <w:color w:val="auto"/>
          <w:szCs w:val="21"/>
          <w:highlight w:val="none"/>
        </w:rPr>
      </w:pPr>
      <w:r>
        <w:rPr>
          <w:rFonts w:hint="eastAsia" w:ascii="宋体" w:hAnsi="宋体" w:cs="宋体"/>
          <w:color w:val="auto"/>
          <w:szCs w:val="21"/>
          <w:highlight w:val="none"/>
        </w:rPr>
        <w:t>100万元×1.5%=1.5万元</w:t>
      </w:r>
    </w:p>
    <w:p>
      <w:pPr>
        <w:snapToGrid w:val="0"/>
        <w:spacing w:line="360" w:lineRule="auto"/>
        <w:ind w:left="210" w:leftChars="100"/>
        <w:jc w:val="left"/>
        <w:rPr>
          <w:rFonts w:ascii="宋体" w:hAnsi="宋体" w:cs="宋体"/>
          <w:color w:val="auto"/>
          <w:szCs w:val="21"/>
          <w:highlight w:val="none"/>
        </w:rPr>
      </w:pPr>
      <w:r>
        <w:rPr>
          <w:rFonts w:hint="eastAsia" w:ascii="宋体" w:hAnsi="宋体" w:cs="宋体"/>
          <w:color w:val="auto"/>
          <w:szCs w:val="21"/>
          <w:highlight w:val="none"/>
        </w:rPr>
        <w:t>（500-100）万元×1.1%=4.4万元</w:t>
      </w:r>
    </w:p>
    <w:p>
      <w:pPr>
        <w:snapToGrid w:val="0"/>
        <w:spacing w:line="360" w:lineRule="auto"/>
        <w:ind w:left="210" w:leftChars="100"/>
        <w:jc w:val="left"/>
        <w:rPr>
          <w:rFonts w:ascii="宋体" w:hAnsi="宋体" w:cs="宋体"/>
          <w:color w:val="auto"/>
          <w:szCs w:val="21"/>
          <w:highlight w:val="none"/>
        </w:rPr>
      </w:pPr>
      <w:r>
        <w:rPr>
          <w:rFonts w:hint="eastAsia" w:ascii="宋体" w:hAnsi="宋体" w:cs="宋体"/>
          <w:color w:val="auto"/>
          <w:szCs w:val="21"/>
          <w:highlight w:val="none"/>
        </w:rPr>
        <w:t>（850-500）万元×0.8%=2.8万元</w:t>
      </w:r>
    </w:p>
    <w:p>
      <w:pPr>
        <w:snapToGrid w:val="0"/>
        <w:spacing w:line="360" w:lineRule="auto"/>
        <w:ind w:left="210" w:leftChars="100"/>
        <w:jc w:val="left"/>
        <w:rPr>
          <w:rFonts w:ascii="宋体" w:hAnsi="宋体" w:cs="宋体"/>
          <w:color w:val="auto"/>
          <w:szCs w:val="21"/>
          <w:highlight w:val="none"/>
        </w:rPr>
      </w:pPr>
      <w:r>
        <w:rPr>
          <w:rFonts w:hint="eastAsia" w:ascii="宋体" w:hAnsi="宋体" w:cs="宋体"/>
          <w:color w:val="auto"/>
          <w:szCs w:val="21"/>
          <w:highlight w:val="none"/>
        </w:rPr>
        <w:t>合计=1.5+4.4+2.8=8.7（万元）。</w:t>
      </w:r>
    </w:p>
    <w:p>
      <w:pPr>
        <w:numPr>
          <w:ilvl w:val="1"/>
          <w:numId w:val="67"/>
        </w:numPr>
        <w:tabs>
          <w:tab w:val="left" w:pos="709"/>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经依法取消中标资格的，采购代理服务费不予退还。</w:t>
      </w:r>
    </w:p>
    <w:p>
      <w:pPr>
        <w:rPr>
          <w:rFonts w:ascii="宋体" w:hAnsi="宋体" w:cs="宋体"/>
          <w:b/>
          <w:color w:val="auto"/>
          <w:szCs w:val="21"/>
          <w:highlight w:val="none"/>
        </w:rPr>
      </w:pPr>
      <w:bookmarkStart w:id="439" w:name="_Toc520812052"/>
      <w:bookmarkStart w:id="440" w:name="_Toc23273"/>
      <w:bookmarkStart w:id="441" w:name="_Toc22263"/>
      <w:r>
        <w:rPr>
          <w:rFonts w:hint="eastAsia" w:ascii="宋体" w:hAnsi="宋体" w:cs="宋体"/>
          <w:b/>
          <w:bCs/>
          <w:color w:val="auto"/>
          <w:szCs w:val="21"/>
          <w:highlight w:val="none"/>
        </w:rPr>
        <w:br w:type="page"/>
      </w:r>
    </w:p>
    <w:p>
      <w:pPr>
        <w:numPr>
          <w:ilvl w:val="0"/>
          <w:numId w:val="67"/>
        </w:numPr>
        <w:autoSpaceDE w:val="0"/>
        <w:autoSpaceDN w:val="0"/>
        <w:adjustRightInd w:val="0"/>
        <w:snapToGrid w:val="0"/>
        <w:spacing w:line="360" w:lineRule="auto"/>
        <w:ind w:left="449" w:hanging="449" w:hangingChars="213"/>
        <w:outlineLvl w:val="2"/>
        <w:rPr>
          <w:rFonts w:ascii="宋体" w:hAnsi="宋体" w:cs="宋体"/>
          <w:b/>
          <w:color w:val="auto"/>
          <w:szCs w:val="21"/>
          <w:highlight w:val="none"/>
        </w:rPr>
      </w:pPr>
      <w:bookmarkStart w:id="442" w:name="_Toc14621"/>
      <w:r>
        <w:rPr>
          <w:rFonts w:hint="eastAsia" w:ascii="宋体" w:hAnsi="宋体" w:cs="宋体"/>
          <w:b/>
          <w:bCs/>
          <w:color w:val="auto"/>
          <w:szCs w:val="21"/>
          <w:highlight w:val="none"/>
        </w:rPr>
        <w:t>询问函、质疑函格式</w:t>
      </w:r>
      <w:bookmarkEnd w:id="439"/>
      <w:bookmarkEnd w:id="440"/>
      <w:bookmarkEnd w:id="441"/>
      <w:bookmarkEnd w:id="442"/>
    </w:p>
    <w:p>
      <w:pP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说明：本部分格式为投标人提交询问函、质疑函时使用，不属于投标文件格式的组成部分。</w:t>
      </w:r>
    </w:p>
    <w:p>
      <w:pPr>
        <w:pStyle w:val="36"/>
        <w:adjustRightInd w:val="0"/>
        <w:snapToGrid w:val="0"/>
        <w:spacing w:before="0" w:beforeAutospacing="0" w:after="0" w:afterAutospacing="0" w:line="360" w:lineRule="auto"/>
        <w:jc w:val="both"/>
        <w:outlineLvl w:val="3"/>
        <w:rPr>
          <w:rFonts w:cs="宋体"/>
          <w:b/>
          <w:bCs/>
          <w:color w:val="auto"/>
          <w:sz w:val="21"/>
          <w:szCs w:val="21"/>
          <w:highlight w:val="none"/>
        </w:rPr>
      </w:pPr>
      <w:r>
        <w:rPr>
          <w:rFonts w:hint="eastAsia" w:cs="宋体"/>
          <w:b/>
          <w:bCs/>
          <w:color w:val="auto"/>
          <w:sz w:val="21"/>
          <w:szCs w:val="21"/>
          <w:highlight w:val="none"/>
        </w:rPr>
        <w:t>1：询问函格式</w:t>
      </w:r>
    </w:p>
    <w:p>
      <w:pPr>
        <w:pStyle w:val="36"/>
        <w:spacing w:before="0" w:beforeAutospacing="0" w:after="0" w:afterAutospacing="0" w:line="360" w:lineRule="auto"/>
        <w:jc w:val="center"/>
        <w:rPr>
          <w:rStyle w:val="43"/>
          <w:rFonts w:cs="宋体"/>
          <w:color w:val="auto"/>
          <w:sz w:val="21"/>
          <w:szCs w:val="21"/>
          <w:highlight w:val="none"/>
        </w:rPr>
      </w:pPr>
      <w:r>
        <w:rPr>
          <w:rStyle w:val="43"/>
          <w:rFonts w:hint="eastAsia" w:cs="宋体"/>
          <w:color w:val="auto"/>
          <w:sz w:val="21"/>
          <w:szCs w:val="21"/>
          <w:highlight w:val="none"/>
        </w:rPr>
        <w:t>询问函</w:t>
      </w:r>
    </w:p>
    <w:p>
      <w:pPr>
        <w:widowControl/>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一、询问供应商基本信息</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询问供应商：</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二、询问项目基本情况</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询问项目的名称：</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询问项目的编号：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
          <w:color w:val="auto"/>
          <w:szCs w:val="21"/>
          <w:highlight w:val="none"/>
        </w:rPr>
        <w:t>询问事项具体内容</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询问事项1：</w:t>
      </w:r>
      <w:r>
        <w:rPr>
          <w:rFonts w:hint="eastAsia" w:ascii="宋体" w:hAnsi="宋体" w:cs="宋体"/>
          <w:color w:val="auto"/>
          <w:szCs w:val="21"/>
          <w:highlight w:val="none"/>
          <w:u w:val="dotted"/>
        </w:rPr>
        <w:t xml:space="preserve">                                                         </w:t>
      </w:r>
    </w:p>
    <w:p>
      <w:pPr>
        <w:widowControl/>
        <w:tabs>
          <w:tab w:val="center" w:pos="5019"/>
        </w:tabs>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说明疑问或无法理解原因：</w:t>
      </w:r>
      <w:r>
        <w:rPr>
          <w:rFonts w:hint="eastAsia" w:ascii="宋体" w:hAnsi="宋体" w:cs="宋体"/>
          <w:color w:val="auto"/>
          <w:szCs w:val="21"/>
          <w:highlight w:val="none"/>
          <w:u w:val="dotted"/>
        </w:rPr>
        <w:t xml:space="preserve">                                             </w:t>
      </w:r>
    </w:p>
    <w:p>
      <w:pPr>
        <w:widowControl/>
        <w:tabs>
          <w:tab w:val="center" w:pos="5019"/>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建议：</w:t>
      </w:r>
      <w:r>
        <w:rPr>
          <w:rFonts w:hint="eastAsia" w:ascii="宋体" w:hAnsi="宋体" w:cs="宋体"/>
          <w:color w:val="auto"/>
          <w:szCs w:val="21"/>
          <w:highlight w:val="none"/>
          <w:u w:val="dotted"/>
        </w:rPr>
        <w:t xml:space="preserve">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询问事项2：</w:t>
      </w:r>
    </w:p>
    <w:p>
      <w:pPr>
        <w:widowControl/>
        <w:tabs>
          <w:tab w:val="left" w:pos="630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签字(签章)：</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公章：</w:t>
      </w:r>
      <w:r>
        <w:rPr>
          <w:rFonts w:hint="eastAsia" w:ascii="宋体" w:hAnsi="宋体" w:cs="宋体"/>
          <w:color w:val="auto"/>
          <w:szCs w:val="21"/>
          <w:highlight w:val="none"/>
          <w:u w:val="dotted"/>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dotted"/>
        </w:rPr>
        <w:t xml:space="preserve">                      </w:t>
      </w:r>
    </w:p>
    <w:p>
      <w:pPr>
        <w:snapToGrid w:val="0"/>
        <w:spacing w:line="360" w:lineRule="auto"/>
        <w:ind w:firstLine="422" w:firstLineChars="201"/>
        <w:rPr>
          <w:rFonts w:ascii="宋体" w:hAnsi="宋体" w:cs="宋体"/>
          <w:color w:val="auto"/>
          <w:szCs w:val="21"/>
          <w:highlight w:val="none"/>
        </w:rPr>
      </w:pPr>
    </w:p>
    <w:p>
      <w:pPr>
        <w:pStyle w:val="36"/>
        <w:adjustRightInd w:val="0"/>
        <w:snapToGrid w:val="0"/>
        <w:spacing w:before="0" w:beforeAutospacing="0" w:after="0" w:afterAutospacing="0" w:line="360" w:lineRule="auto"/>
        <w:jc w:val="both"/>
        <w:outlineLvl w:val="3"/>
        <w:rPr>
          <w:rFonts w:cs="宋体"/>
          <w:b/>
          <w:bCs/>
          <w:color w:val="auto"/>
          <w:sz w:val="21"/>
          <w:szCs w:val="21"/>
          <w:highlight w:val="none"/>
        </w:rPr>
      </w:pPr>
      <w:r>
        <w:rPr>
          <w:rFonts w:hint="eastAsia" w:cs="宋体"/>
          <w:color w:val="auto"/>
          <w:sz w:val="21"/>
          <w:szCs w:val="21"/>
          <w:highlight w:val="none"/>
        </w:rPr>
        <w:br w:type="page"/>
      </w:r>
      <w:r>
        <w:rPr>
          <w:rFonts w:hint="eastAsia" w:cs="宋体"/>
          <w:b/>
          <w:bCs/>
          <w:color w:val="auto"/>
          <w:sz w:val="21"/>
          <w:szCs w:val="21"/>
          <w:highlight w:val="none"/>
        </w:rPr>
        <w:t>2：质疑函格式</w:t>
      </w:r>
    </w:p>
    <w:p>
      <w:pPr>
        <w:jc w:val="center"/>
        <w:rPr>
          <w:rFonts w:ascii="宋体" w:hAnsi="宋体" w:cs="宋体"/>
          <w:b/>
          <w:bCs/>
          <w:color w:val="auto"/>
          <w:szCs w:val="21"/>
          <w:highlight w:val="none"/>
        </w:rPr>
      </w:pPr>
      <w:bookmarkStart w:id="443" w:name="_Hlk507761736"/>
      <w:r>
        <w:rPr>
          <w:rFonts w:hint="eastAsia" w:ascii="宋体" w:hAnsi="宋体" w:cs="宋体"/>
          <w:b/>
          <w:bCs/>
          <w:color w:val="auto"/>
          <w:szCs w:val="21"/>
          <w:highlight w:val="none"/>
        </w:rPr>
        <w:t>质疑函范本</w:t>
      </w:r>
    </w:p>
    <w:bookmarkEnd w:id="443"/>
    <w:p>
      <w:pPr>
        <w:widowControl/>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一、质疑供应商基本信息</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二、质疑项目基本情况</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三、质疑事项具体内容</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质疑事项2</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四、与质疑事项相关的质疑请求</w:t>
      </w:r>
    </w:p>
    <w:p>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pPr>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签字(签章)：</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公章：</w:t>
      </w:r>
      <w:r>
        <w:rPr>
          <w:rFonts w:hint="eastAsia" w:ascii="宋体" w:hAnsi="宋体" w:cs="宋体"/>
          <w:color w:val="auto"/>
          <w:szCs w:val="21"/>
          <w:highlight w:val="none"/>
          <w:u w:val="dotted"/>
        </w:rPr>
        <w:t xml:space="preserve">                      </w:t>
      </w:r>
    </w:p>
    <w:p>
      <w:pPr>
        <w:spacing w:line="360" w:lineRule="auto"/>
        <w:rPr>
          <w:rFonts w:ascii="宋体" w:hAnsi="宋体" w:cs="宋体"/>
          <w:color w:val="auto"/>
          <w:szCs w:val="21"/>
          <w:highlight w:val="none"/>
          <w:u w:val="dotted"/>
        </w:rPr>
      </w:pPr>
      <w:r>
        <w:rPr>
          <w:rFonts w:hint="eastAsia" w:ascii="宋体" w:hAnsi="宋体" w:cs="宋体"/>
          <w:color w:val="auto"/>
          <w:szCs w:val="21"/>
          <w:highlight w:val="none"/>
        </w:rPr>
        <w:t>日期：</w:t>
      </w:r>
      <w:r>
        <w:rPr>
          <w:rFonts w:hint="eastAsia" w:ascii="宋体" w:hAnsi="宋体" w:cs="宋体"/>
          <w:color w:val="auto"/>
          <w:szCs w:val="21"/>
          <w:highlight w:val="none"/>
          <w:u w:val="dotted"/>
        </w:rPr>
        <w:t xml:space="preserve">                      </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附件：质疑供应商在提交的证明材料中对质疑点的内容作出相应的标识或以醒目的方式标明。</w:t>
      </w:r>
    </w:p>
    <w:tbl>
      <w:tblPr>
        <w:tblStyle w:val="4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4"/>
        <w:gridCol w:w="3272"/>
        <w:gridCol w:w="226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4" w:type="dxa"/>
            <w:tcBorders>
              <w:top w:val="single" w:color="auto" w:sz="12" w:space="0"/>
              <w:left w:val="single" w:color="auto" w:sz="12" w:space="0"/>
            </w:tcBorders>
            <w:tcMar>
              <w:top w:w="72" w:type="dxa"/>
              <w:left w:w="144" w:type="dxa"/>
              <w:bottom w:w="72" w:type="dxa"/>
              <w:right w:w="144" w:type="dxa"/>
            </w:tcMar>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272" w:type="dxa"/>
            <w:tcBorders>
              <w:top w:val="single" w:color="auto" w:sz="12" w:space="0"/>
            </w:tcBorders>
            <w:tcMar>
              <w:top w:w="72" w:type="dxa"/>
              <w:left w:w="144" w:type="dxa"/>
              <w:bottom w:w="72" w:type="dxa"/>
              <w:right w:w="144" w:type="dxa"/>
            </w:tcMar>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证明材料名称</w:t>
            </w:r>
          </w:p>
        </w:tc>
        <w:tc>
          <w:tcPr>
            <w:tcW w:w="2261" w:type="dxa"/>
            <w:tcBorders>
              <w:top w:val="single" w:color="auto" w:sz="12" w:space="0"/>
            </w:tcBorders>
            <w:tcMar>
              <w:top w:w="72" w:type="dxa"/>
              <w:left w:w="144" w:type="dxa"/>
              <w:bottom w:w="72" w:type="dxa"/>
              <w:right w:w="144" w:type="dxa"/>
            </w:tcMar>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证明材料来源</w:t>
            </w:r>
          </w:p>
        </w:tc>
        <w:tc>
          <w:tcPr>
            <w:tcW w:w="2142" w:type="dxa"/>
            <w:tcBorders>
              <w:top w:val="single" w:color="auto" w:sz="12" w:space="0"/>
              <w:right w:val="single" w:color="auto" w:sz="12" w:space="0"/>
            </w:tcBorders>
            <w:tcMar>
              <w:top w:w="72" w:type="dxa"/>
              <w:left w:w="144" w:type="dxa"/>
              <w:bottom w:w="72" w:type="dxa"/>
              <w:right w:w="144" w:type="dxa"/>
            </w:tcMar>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4" w:type="dxa"/>
            <w:tcBorders>
              <w:left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272" w:type="dxa"/>
            <w:tcMar>
              <w:top w:w="72" w:type="dxa"/>
              <w:left w:w="144" w:type="dxa"/>
              <w:bottom w:w="72" w:type="dxa"/>
              <w:right w:w="144" w:type="dxa"/>
            </w:tcMar>
          </w:tcPr>
          <w:p>
            <w:pPr>
              <w:spacing w:line="360" w:lineRule="auto"/>
              <w:jc w:val="center"/>
              <w:rPr>
                <w:rFonts w:ascii="宋体" w:hAnsi="宋体" w:cs="宋体"/>
                <w:color w:val="auto"/>
                <w:szCs w:val="21"/>
                <w:highlight w:val="none"/>
              </w:rPr>
            </w:pPr>
          </w:p>
        </w:tc>
        <w:tc>
          <w:tcPr>
            <w:tcW w:w="2261" w:type="dxa"/>
            <w:tcMar>
              <w:top w:w="72" w:type="dxa"/>
              <w:left w:w="144" w:type="dxa"/>
              <w:bottom w:w="72" w:type="dxa"/>
              <w:right w:w="144" w:type="dxa"/>
            </w:tcMar>
          </w:tcPr>
          <w:p>
            <w:pPr>
              <w:spacing w:line="360" w:lineRule="auto"/>
              <w:jc w:val="center"/>
              <w:rPr>
                <w:rFonts w:ascii="宋体" w:hAnsi="宋体" w:cs="宋体"/>
                <w:color w:val="auto"/>
                <w:szCs w:val="21"/>
                <w:highlight w:val="none"/>
              </w:rPr>
            </w:pPr>
          </w:p>
        </w:tc>
        <w:tc>
          <w:tcPr>
            <w:tcW w:w="2142" w:type="dxa"/>
            <w:tcBorders>
              <w:right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4" w:type="dxa"/>
            <w:tcBorders>
              <w:left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272" w:type="dxa"/>
            <w:tcMar>
              <w:top w:w="72" w:type="dxa"/>
              <w:left w:w="144" w:type="dxa"/>
              <w:bottom w:w="72" w:type="dxa"/>
              <w:right w:w="144" w:type="dxa"/>
            </w:tcMar>
          </w:tcPr>
          <w:p>
            <w:pPr>
              <w:spacing w:line="360" w:lineRule="auto"/>
              <w:jc w:val="center"/>
              <w:rPr>
                <w:rFonts w:ascii="宋体" w:hAnsi="宋体" w:cs="宋体"/>
                <w:color w:val="auto"/>
                <w:szCs w:val="21"/>
                <w:highlight w:val="none"/>
              </w:rPr>
            </w:pPr>
          </w:p>
        </w:tc>
        <w:tc>
          <w:tcPr>
            <w:tcW w:w="2261" w:type="dxa"/>
            <w:tcMar>
              <w:top w:w="72" w:type="dxa"/>
              <w:left w:w="144" w:type="dxa"/>
              <w:bottom w:w="72" w:type="dxa"/>
              <w:right w:w="144" w:type="dxa"/>
            </w:tcMar>
          </w:tcPr>
          <w:p>
            <w:pPr>
              <w:spacing w:line="360" w:lineRule="auto"/>
              <w:jc w:val="center"/>
              <w:rPr>
                <w:rFonts w:ascii="宋体" w:hAnsi="宋体" w:cs="宋体"/>
                <w:color w:val="auto"/>
                <w:szCs w:val="21"/>
                <w:highlight w:val="none"/>
              </w:rPr>
            </w:pPr>
          </w:p>
        </w:tc>
        <w:tc>
          <w:tcPr>
            <w:tcW w:w="2142" w:type="dxa"/>
            <w:tcBorders>
              <w:right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4" w:type="dxa"/>
            <w:tcBorders>
              <w:left w:val="single" w:color="auto" w:sz="12" w:space="0"/>
              <w:bottom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3272" w:type="dxa"/>
            <w:tcBorders>
              <w:bottom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p>
        </w:tc>
        <w:tc>
          <w:tcPr>
            <w:tcW w:w="2261" w:type="dxa"/>
            <w:tcBorders>
              <w:bottom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p>
        </w:tc>
        <w:tc>
          <w:tcPr>
            <w:tcW w:w="2142" w:type="dxa"/>
            <w:tcBorders>
              <w:bottom w:val="single" w:color="auto" w:sz="12" w:space="0"/>
              <w:right w:val="single" w:color="auto" w:sz="12" w:space="0"/>
            </w:tcBorders>
            <w:tcMar>
              <w:top w:w="72" w:type="dxa"/>
              <w:left w:w="144" w:type="dxa"/>
              <w:bottom w:w="72" w:type="dxa"/>
              <w:right w:w="144" w:type="dxa"/>
            </w:tcMar>
          </w:tcPr>
          <w:p>
            <w:pPr>
              <w:spacing w:line="360" w:lineRule="auto"/>
              <w:jc w:val="center"/>
              <w:rPr>
                <w:rFonts w:ascii="宋体" w:hAnsi="宋体" w:cs="宋体"/>
                <w:color w:val="auto"/>
                <w:szCs w:val="21"/>
                <w:highlight w:val="none"/>
              </w:rPr>
            </w:pPr>
          </w:p>
        </w:tc>
      </w:tr>
    </w:tbl>
    <w:p>
      <w:pPr>
        <w:widowControl/>
        <w:adjustRightInd w:val="0"/>
        <w:snapToGrid w:val="0"/>
        <w:spacing w:line="360" w:lineRule="auto"/>
        <w:jc w:val="left"/>
        <w:rPr>
          <w:rFonts w:ascii="宋体" w:hAnsi="宋体" w:cs="宋体"/>
          <w:b/>
          <w:color w:val="auto"/>
          <w:szCs w:val="21"/>
          <w:highlight w:val="none"/>
        </w:rPr>
      </w:pPr>
    </w:p>
    <w:p>
      <w:pPr>
        <w:widowControl/>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质疑函制作说明：</w:t>
      </w:r>
    </w:p>
    <w:p>
      <w:pPr>
        <w:widowControl/>
        <w:numPr>
          <w:ilvl w:val="0"/>
          <w:numId w:val="6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供应商提出质疑时，应提交质疑函和必要的证明材料。</w:t>
      </w:r>
    </w:p>
    <w:p>
      <w:pPr>
        <w:widowControl/>
        <w:numPr>
          <w:ilvl w:val="0"/>
          <w:numId w:val="6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numPr>
          <w:ilvl w:val="0"/>
          <w:numId w:val="69"/>
        </w:num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质疑供应商若对项目的某一分包进行质疑，质疑函中应列明具体包组号。</w:t>
      </w:r>
    </w:p>
    <w:p>
      <w:pPr>
        <w:widowControl/>
        <w:numPr>
          <w:ilvl w:val="0"/>
          <w:numId w:val="6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质疑函的质疑事项应具体、明确，并有必要的事实依据和法律依据。</w:t>
      </w:r>
    </w:p>
    <w:p>
      <w:pPr>
        <w:widowControl/>
        <w:numPr>
          <w:ilvl w:val="0"/>
          <w:numId w:val="69"/>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质疑函的质疑请求应与质疑事项相关。</w:t>
      </w:r>
    </w:p>
    <w:p>
      <w:pPr>
        <w:spacing w:line="360" w:lineRule="auto"/>
        <w:rPr>
          <w:rFonts w:ascii="宋体" w:hAnsi="宋体" w:cs="宋体"/>
          <w:color w:val="auto"/>
          <w:highlight w:val="none"/>
        </w:rPr>
      </w:pPr>
      <w:r>
        <w:rPr>
          <w:rFonts w:hint="eastAsia" w:ascii="宋体" w:hAnsi="宋体" w:cs="宋体"/>
          <w:color w:val="auto"/>
          <w:szCs w:val="21"/>
          <w:highlight w:val="none"/>
        </w:rPr>
        <w:t>质疑供应商为自然人的，质疑函应由本人签字；质疑供应商为法人或者其他组织的，质疑函应由法定代表人、主要负责人，或者其授权代表签字或者盖章，并加盖公章。</w:t>
      </w:r>
    </w:p>
    <w:p>
      <w:pPr>
        <w:spacing w:line="360" w:lineRule="auto"/>
        <w:rPr>
          <w:rFonts w:ascii="宋体" w:hAnsi="宋体" w:cs="宋体"/>
          <w:color w:val="auto"/>
          <w:highlight w:val="none"/>
        </w:rPr>
      </w:pPr>
    </w:p>
    <w:sectPr>
      <w:pgSz w:w="11906" w:h="16838"/>
      <w:pgMar w:top="1440" w:right="1440" w:bottom="1440" w:left="1440" w:header="737" w:footer="992"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DFD7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Fonts w:hint="default"/>
        <w:sz w:val="21"/>
        <w:szCs w:val="21"/>
        <w:lang w:val="en-US"/>
      </w:rPr>
    </w:pPr>
    <w:r>
      <w:rPr>
        <w:rStyle w:val="44"/>
        <w:sz w:val="21"/>
        <w:szCs w:val="21"/>
      </w:rPr>
      <w:t>达成业主目标 安全优质管理</w: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r>
      <w:rPr>
        <w:rStyle w:val="44"/>
        <w:rFonts w:hint="eastAsia"/>
        <w:sz w:val="21"/>
        <w:szCs w:val="21"/>
        <w:lang w:val="en-US" w:eastAsia="zh-CN"/>
      </w:rPr>
      <w:t xml:space="preserve">                                       </w:t>
    </w:r>
    <w:r>
      <w:rPr>
        <w:rStyle w:val="44"/>
        <w:rFonts w:hint="eastAsia"/>
        <w:sz w:val="21"/>
        <w:szCs w:val="21"/>
      </w:rPr>
      <w:t>中达安股份有限公司</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Fonts w:hint="default"/>
        <w:sz w:val="21"/>
        <w:szCs w:val="21"/>
        <w:lang w:val="en-US"/>
      </w:rPr>
    </w:pPr>
    <w:r>
      <w:rPr>
        <w:rStyle w:val="44"/>
        <w:sz w:val="21"/>
        <w:szCs w:val="21"/>
      </w:rPr>
      <w:t>达成业主目标 安全优质管理</w:t>
    </w:r>
    <w:r>
      <w:rPr>
        <w:sz w:val="21"/>
      </w:rPr>
      <mc:AlternateContent>
        <mc:Choice Requires="wps">
          <w:drawing>
            <wp:anchor distT="0" distB="0" distL="114300" distR="114300" simplePos="0" relativeHeight="251663360" behindDoc="0" locked="0" layoutInCell="1" allowOverlap="1">
              <wp:simplePos x="0" y="0"/>
              <wp:positionH relativeFrom="margin">
                <wp:posOffset>2404110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9.3pt;margin-top:0pt;height:144pt;width:144pt;mso-position-horizontal-relative:margin;mso-wrap-style:none;z-index:251663360;mso-width-relative:page;mso-height-relative:page;" filled="f" stroked="f" coordsize="21600,21600" o:gfxdata="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StD8/VAAAACAEAAA8AAAAAAAAAAQAgAAAAIgAAAGRycy9kb3ducmV2&#10;LnhtbFBLAQIUABQAAAAIAIdO4kA54isUOAIAAG8EAAAOAAAAAAAAAAEAIAAAACQBAABkcnMvZTJv&#10;RG9jLnhtbFBLBQYAAAAABgAGAFkBAADO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r>
      <w:rPr>
        <w:rStyle w:val="44"/>
        <w:rFonts w:hint="eastAsia"/>
        <w:sz w:val="21"/>
        <w:szCs w:val="21"/>
        <w:lang w:val="en-US" w:eastAsia="zh-CN"/>
      </w:rPr>
      <w:t xml:space="preserve">                                       </w:t>
    </w:r>
    <w:r>
      <w:rPr>
        <w:rStyle w:val="44"/>
        <w:rFonts w:hint="eastAsia"/>
        <w:sz w:val="21"/>
        <w:szCs w:val="21"/>
      </w:rPr>
      <w:t>中达安股份有限公司</w:t>
    </w:r>
  </w:p>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Style w:val="44"/>
                            </w:rPr>
                          </w:pPr>
                          <w:r>
                            <w:fldChar w:fldCharType="begin"/>
                          </w:r>
                          <w:r>
                            <w:rPr>
                              <w:rStyle w:val="44"/>
                            </w:rPr>
                            <w:instrText xml:space="preserve">PAGE  </w:instrText>
                          </w:r>
                          <w:r>
                            <w:fldChar w:fldCharType="separate"/>
                          </w:r>
                          <w:r>
                            <w:rPr>
                              <w:rStyle w:val="44"/>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rPr>
                        <w:rStyle w:val="44"/>
                      </w:rPr>
                    </w:pPr>
                    <w:r>
                      <w:fldChar w:fldCharType="begin"/>
                    </w:r>
                    <w:r>
                      <w:rPr>
                        <w:rStyle w:val="44"/>
                      </w:rPr>
                      <w:instrText xml:space="preserve">PAGE  </w:instrText>
                    </w:r>
                    <w:r>
                      <w:fldChar w:fldCharType="separate"/>
                    </w:r>
                    <w:r>
                      <w:rPr>
                        <w:rStyle w:val="44"/>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Fonts w:hint="default"/>
        <w:sz w:val="21"/>
        <w:szCs w:val="21"/>
        <w:lang w:val="en-US"/>
      </w:rPr>
    </w:pPr>
    <w:r>
      <w:rPr>
        <w:rStyle w:val="44"/>
        <w:sz w:val="21"/>
        <w:szCs w:val="21"/>
      </w:rPr>
      <w:t>达成业主目标 安全优质管理</w: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r>
      <w:rPr>
        <w:rStyle w:val="44"/>
        <w:rFonts w:hint="eastAsia"/>
        <w:sz w:val="21"/>
        <w:szCs w:val="21"/>
        <w:lang w:val="en-US" w:eastAsia="zh-CN"/>
      </w:rPr>
      <w:t xml:space="preserve">                                       </w:t>
    </w:r>
    <w:r>
      <w:rPr>
        <w:rStyle w:val="44"/>
        <w:rFonts w:hint="eastAsia"/>
        <w:sz w:val="21"/>
        <w:szCs w:val="21"/>
      </w:rPr>
      <w:t>中达安股份有限公司</w: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Fonts w:hint="default"/>
        <w:sz w:val="21"/>
        <w:szCs w:val="21"/>
        <w:lang w:val="en-US"/>
      </w:rPr>
    </w:pPr>
    <w:r>
      <w:rPr>
        <w:rStyle w:val="44"/>
        <w:sz w:val="21"/>
        <w:szCs w:val="21"/>
      </w:rPr>
      <w:t>达成业主目标 安全优质管理</w:t>
    </w: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r>
      <w:rPr>
        <w:rStyle w:val="44"/>
        <w:rFonts w:hint="eastAsia"/>
        <w:sz w:val="21"/>
        <w:szCs w:val="21"/>
        <w:lang w:val="en-US" w:eastAsia="zh-CN"/>
      </w:rPr>
      <w:t xml:space="preserve">                                       </w:t>
    </w:r>
    <w:r>
      <w:rPr>
        <w:rStyle w:val="44"/>
        <w:rFonts w:hint="eastAsia"/>
        <w:sz w:val="21"/>
        <w:szCs w:val="21"/>
      </w:rPr>
      <w:t>中达安股份有限公司</w: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Fonts w:hint="default"/>
        <w:sz w:val="21"/>
        <w:szCs w:val="21"/>
        <w:lang w:val="en-US"/>
      </w:rPr>
    </w:pPr>
    <w:r>
      <w:rPr>
        <w:rStyle w:val="44"/>
        <w:sz w:val="21"/>
        <w:szCs w:val="21"/>
      </w:rPr>
      <w:t>达成业主目标 安全优质管理</w:t>
    </w:r>
    <w:r>
      <w:rPr>
        <w:rStyle w:val="44"/>
        <w:rFonts w:hint="eastAsia"/>
        <w:sz w:val="21"/>
        <w:szCs w:val="21"/>
        <w:lang w:val="en-US" w:eastAsia="zh-CN"/>
      </w:rPr>
      <w:t xml:space="preserve">                                       </w:t>
    </w:r>
    <w:r>
      <w:rPr>
        <w:rStyle w:val="44"/>
        <w:rFonts w:hint="eastAsia"/>
        <w:sz w:val="21"/>
        <w:szCs w:val="21"/>
      </w:rPr>
      <w:t>中达安股份有限公司</w:t>
    </w:r>
  </w:p>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Fonts w:hint="default"/>
        <w:sz w:val="21"/>
        <w:szCs w:val="21"/>
        <w:lang w:val="en-US"/>
      </w:rPr>
    </w:pPr>
    <w:r>
      <w:rPr>
        <w:rStyle w:val="44"/>
        <w:sz w:val="21"/>
        <w:szCs w:val="21"/>
      </w:rPr>
      <w:t>达成业主目标 安全优质管理</w:t>
    </w: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r>
      <w:rPr>
        <w:rStyle w:val="44"/>
        <w:rFonts w:hint="eastAsia"/>
        <w:sz w:val="21"/>
        <w:szCs w:val="21"/>
        <w:lang w:val="en-US" w:eastAsia="zh-CN"/>
      </w:rPr>
      <w:t xml:space="preserve">                                       </w:t>
    </w:r>
    <w:r>
      <w:rPr>
        <w:rStyle w:val="44"/>
        <w:rFonts w:hint="eastAsia"/>
        <w:sz w:val="21"/>
        <w:szCs w:val="21"/>
      </w:rPr>
      <w:t>中达安股份有限公司</w:t>
    </w:r>
  </w:p>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10" w:firstLineChars="100"/>
      <w:jc w:val="both"/>
      <w:rPr>
        <w:rStyle w:val="44"/>
        <w:sz w:val="21"/>
        <w:szCs w:val="21"/>
      </w:rPr>
    </w:pPr>
  </w:p>
  <w:p>
    <w:pPr>
      <w:pStyle w:val="27"/>
      <w:ind w:firstLine="210" w:firstLineChars="100"/>
      <w:jc w:val="both"/>
      <w:rPr>
        <w:rFonts w:hint="default"/>
        <w:sz w:val="21"/>
        <w:szCs w:val="21"/>
        <w:lang w:val="en-US"/>
      </w:rPr>
    </w:pPr>
    <w:r>
      <w:rPr>
        <w:rStyle w:val="44"/>
        <w:sz w:val="21"/>
        <w:szCs w:val="21"/>
      </w:rPr>
      <w:t>达成业主目标 安全优质管理</w: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r>
      <w:rPr>
        <w:rStyle w:val="44"/>
        <w:rFonts w:hint="eastAsia"/>
        <w:sz w:val="21"/>
        <w:szCs w:val="21"/>
        <w:lang w:val="en-US" w:eastAsia="zh-CN"/>
      </w:rPr>
      <w:t xml:space="preserve">                                       </w:t>
    </w:r>
    <w:r>
      <w:rPr>
        <w:rStyle w:val="44"/>
        <w:rFonts w:hint="eastAsia"/>
        <w:sz w:val="21"/>
        <w:szCs w:val="21"/>
      </w:rPr>
      <w:t>中达安股份有限公司</w: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黑体" w:hAnsi="黑体" w:eastAsia="宋体" w:cs="黑体"/>
        <w:b/>
        <w:bCs/>
        <w:color w:val="000000"/>
        <w:lang w:eastAsia="zh-CN"/>
      </w:rPr>
    </w:pPr>
    <w:r>
      <w:rPr>
        <w:rFonts w:hint="eastAsia" w:ascii="宋体" w:hAnsi="宋体"/>
      </w:rPr>
      <w:drawing>
        <wp:inline distT="0" distB="0" distL="114300" distR="114300">
          <wp:extent cx="2525395" cy="252730"/>
          <wp:effectExtent l="0" t="0" r="0" b="13970"/>
          <wp:docPr id="2" name="图片 3" descr="logo-达安-60-600-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达安-60-600-V2"/>
                  <pic:cNvPicPr>
                    <a:picLocks noChangeAspect="1"/>
                  </pic:cNvPicPr>
                </pic:nvPicPr>
                <pic:blipFill>
                  <a:blip r:embed="rId1"/>
                  <a:stretch>
                    <a:fillRect/>
                  </a:stretch>
                </pic:blipFill>
                <pic:spPr>
                  <a:xfrm>
                    <a:off x="0" y="0"/>
                    <a:ext cx="2525395" cy="252730"/>
                  </a:xfrm>
                  <a:prstGeom prst="rect">
                    <a:avLst/>
                  </a:prstGeom>
                  <a:noFill/>
                  <a:ln w="9525">
                    <a:noFill/>
                  </a:ln>
                </pic:spPr>
              </pic:pic>
            </a:graphicData>
          </a:graphic>
        </wp:inline>
      </w:drawing>
    </w:r>
    <w:r>
      <w:rPr>
        <w:rFonts w:hint="eastAsia" w:ascii="宋体" w:hAnsi="宋体"/>
      </w:rPr>
      <w:t xml:space="preserve">                </w:t>
    </w:r>
    <w:r>
      <w:rPr>
        <w:rFonts w:hint="eastAsia" w:ascii="宋体" w:hAnsi="宋体"/>
        <w:lang w:val="en-US" w:eastAsia="zh-CN"/>
      </w:rPr>
      <w:t xml:space="preserve">         </w:t>
    </w:r>
    <w:r>
      <w:rPr>
        <w:rFonts w:hint="eastAsia" w:ascii="宋体" w:hAnsi="宋体" w:eastAsia="宋体" w:cs="宋体"/>
        <w:b w:val="0"/>
        <w:bCs w:val="0"/>
        <w:color w:val="000000"/>
        <w:sz w:val="21"/>
        <w:szCs w:val="21"/>
      </w:rPr>
      <w:t>项目编号：</w:t>
    </w:r>
    <w:r>
      <w:rPr>
        <w:rFonts w:hint="eastAsia" w:ascii="宋体" w:hAnsi="宋体" w:cs="宋体"/>
        <w:b w:val="0"/>
        <w:bCs w:val="0"/>
        <w:color w:val="000000"/>
        <w:sz w:val="21"/>
        <w:szCs w:val="21"/>
        <w:lang w:eastAsia="zh-CN"/>
      </w:rPr>
      <w:t>ZDAZB-FS-2021020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5DBE2"/>
    <w:multiLevelType w:val="singleLevel"/>
    <w:tmpl w:val="8215DBE2"/>
    <w:lvl w:ilvl="0" w:tentative="0">
      <w:start w:val="2"/>
      <w:numFmt w:val="decimal"/>
      <w:suff w:val="nothing"/>
      <w:lvlText w:val="%1）"/>
      <w:lvlJc w:val="left"/>
    </w:lvl>
  </w:abstractNum>
  <w:abstractNum w:abstractNumId="1">
    <w:nsid w:val="86C144B7"/>
    <w:multiLevelType w:val="singleLevel"/>
    <w:tmpl w:val="86C144B7"/>
    <w:lvl w:ilvl="0" w:tentative="0">
      <w:start w:val="1"/>
      <w:numFmt w:val="decimal"/>
      <w:suff w:val="nothing"/>
      <w:lvlText w:val="%1．"/>
      <w:lvlJc w:val="left"/>
      <w:pPr>
        <w:ind w:left="0" w:firstLine="400"/>
      </w:pPr>
      <w:rPr>
        <w:rFonts w:hint="default"/>
      </w:rPr>
    </w:lvl>
  </w:abstractNum>
  <w:abstractNum w:abstractNumId="2">
    <w:nsid w:val="87850C83"/>
    <w:multiLevelType w:val="singleLevel"/>
    <w:tmpl w:val="87850C83"/>
    <w:lvl w:ilvl="0" w:tentative="0">
      <w:start w:val="1"/>
      <w:numFmt w:val="decimal"/>
      <w:suff w:val="nothing"/>
      <w:lvlText w:val="%1．"/>
      <w:lvlJc w:val="left"/>
      <w:pPr>
        <w:ind w:left="0" w:firstLine="400"/>
      </w:pPr>
      <w:rPr>
        <w:rFonts w:hint="default"/>
      </w:rPr>
    </w:lvl>
  </w:abstractNum>
  <w:abstractNum w:abstractNumId="3">
    <w:nsid w:val="8C9961B3"/>
    <w:multiLevelType w:val="singleLevel"/>
    <w:tmpl w:val="8C9961B3"/>
    <w:lvl w:ilvl="0" w:tentative="0">
      <w:start w:val="1"/>
      <w:numFmt w:val="decimal"/>
      <w:suff w:val="nothing"/>
      <w:lvlText w:val="%1．"/>
      <w:lvlJc w:val="left"/>
      <w:pPr>
        <w:ind w:left="0" w:firstLine="400"/>
      </w:pPr>
      <w:rPr>
        <w:rFonts w:hint="default"/>
      </w:rPr>
    </w:lvl>
  </w:abstractNum>
  <w:abstractNum w:abstractNumId="4">
    <w:nsid w:val="978AC8D0"/>
    <w:multiLevelType w:val="singleLevel"/>
    <w:tmpl w:val="978AC8D0"/>
    <w:lvl w:ilvl="0" w:tentative="0">
      <w:start w:val="1"/>
      <w:numFmt w:val="decimal"/>
      <w:suff w:val="nothing"/>
      <w:lvlText w:val="%1、"/>
      <w:lvlJc w:val="left"/>
    </w:lvl>
  </w:abstractNum>
  <w:abstractNum w:abstractNumId="5">
    <w:nsid w:val="9E09923C"/>
    <w:multiLevelType w:val="singleLevel"/>
    <w:tmpl w:val="9E09923C"/>
    <w:lvl w:ilvl="0" w:tentative="0">
      <w:start w:val="1"/>
      <w:numFmt w:val="decimal"/>
      <w:suff w:val="nothing"/>
      <w:lvlText w:val="%1、"/>
      <w:lvlJc w:val="left"/>
    </w:lvl>
  </w:abstractNum>
  <w:abstractNum w:abstractNumId="6">
    <w:nsid w:val="A2B35E7D"/>
    <w:multiLevelType w:val="singleLevel"/>
    <w:tmpl w:val="A2B35E7D"/>
    <w:lvl w:ilvl="0" w:tentative="0">
      <w:start w:val="2"/>
      <w:numFmt w:val="decimal"/>
      <w:suff w:val="nothing"/>
      <w:lvlText w:val="%1）"/>
      <w:lvlJc w:val="left"/>
    </w:lvl>
  </w:abstractNum>
  <w:abstractNum w:abstractNumId="7">
    <w:nsid w:val="A4EB79C1"/>
    <w:multiLevelType w:val="singleLevel"/>
    <w:tmpl w:val="A4EB79C1"/>
    <w:lvl w:ilvl="0" w:tentative="0">
      <w:start w:val="1"/>
      <w:numFmt w:val="decimal"/>
      <w:suff w:val="nothing"/>
      <w:lvlText w:val="%1、"/>
      <w:lvlJc w:val="left"/>
    </w:lvl>
  </w:abstractNum>
  <w:abstractNum w:abstractNumId="8">
    <w:nsid w:val="AE43368E"/>
    <w:multiLevelType w:val="singleLevel"/>
    <w:tmpl w:val="AE43368E"/>
    <w:lvl w:ilvl="0" w:tentative="0">
      <w:start w:val="1"/>
      <w:numFmt w:val="decimal"/>
      <w:suff w:val="nothing"/>
      <w:lvlText w:val="%1．"/>
      <w:lvlJc w:val="left"/>
      <w:pPr>
        <w:ind w:left="0" w:firstLine="400"/>
      </w:pPr>
      <w:rPr>
        <w:rFonts w:hint="default"/>
      </w:rPr>
    </w:lvl>
  </w:abstractNum>
  <w:abstractNum w:abstractNumId="9">
    <w:nsid w:val="B45B2AFD"/>
    <w:multiLevelType w:val="singleLevel"/>
    <w:tmpl w:val="B45B2AFD"/>
    <w:lvl w:ilvl="0" w:tentative="0">
      <w:start w:val="1"/>
      <w:numFmt w:val="decimal"/>
      <w:lvlText w:val="%1."/>
      <w:lvlJc w:val="left"/>
      <w:pPr>
        <w:ind w:left="425" w:hanging="425"/>
      </w:pPr>
      <w:rPr>
        <w:rFonts w:hint="default"/>
      </w:rPr>
    </w:lvl>
  </w:abstractNum>
  <w:abstractNum w:abstractNumId="10">
    <w:nsid w:val="B5B8B0EF"/>
    <w:multiLevelType w:val="singleLevel"/>
    <w:tmpl w:val="B5B8B0EF"/>
    <w:lvl w:ilvl="0" w:tentative="0">
      <w:start w:val="1"/>
      <w:numFmt w:val="decimal"/>
      <w:lvlText w:val="%1."/>
      <w:lvlJc w:val="left"/>
      <w:pPr>
        <w:tabs>
          <w:tab w:val="left" w:pos="312"/>
        </w:tabs>
      </w:pPr>
    </w:lvl>
  </w:abstractNum>
  <w:abstractNum w:abstractNumId="11">
    <w:nsid w:val="BD292CC8"/>
    <w:multiLevelType w:val="singleLevel"/>
    <w:tmpl w:val="BD292CC8"/>
    <w:lvl w:ilvl="0" w:tentative="0">
      <w:start w:val="1"/>
      <w:numFmt w:val="decimal"/>
      <w:suff w:val="nothing"/>
      <w:lvlText w:val="（%1）"/>
      <w:lvlJc w:val="left"/>
    </w:lvl>
  </w:abstractNum>
  <w:abstractNum w:abstractNumId="12">
    <w:nsid w:val="C6426D20"/>
    <w:multiLevelType w:val="singleLevel"/>
    <w:tmpl w:val="C6426D20"/>
    <w:lvl w:ilvl="0" w:tentative="0">
      <w:start w:val="1"/>
      <w:numFmt w:val="decimal"/>
      <w:lvlText w:val="%1."/>
      <w:lvlJc w:val="left"/>
      <w:pPr>
        <w:ind w:left="425" w:hanging="425"/>
      </w:pPr>
      <w:rPr>
        <w:rFonts w:hint="default"/>
      </w:rPr>
    </w:lvl>
  </w:abstractNum>
  <w:abstractNum w:abstractNumId="13">
    <w:nsid w:val="C7AE1F9B"/>
    <w:multiLevelType w:val="singleLevel"/>
    <w:tmpl w:val="C7AE1F9B"/>
    <w:lvl w:ilvl="0" w:tentative="0">
      <w:start w:val="1"/>
      <w:numFmt w:val="decimal"/>
      <w:suff w:val="nothing"/>
      <w:lvlText w:val="%1．"/>
      <w:lvlJc w:val="left"/>
      <w:pPr>
        <w:ind w:left="0" w:firstLine="400"/>
      </w:pPr>
      <w:rPr>
        <w:rFonts w:hint="default"/>
      </w:rPr>
    </w:lvl>
  </w:abstractNum>
  <w:abstractNum w:abstractNumId="14">
    <w:nsid w:val="E5A45D78"/>
    <w:multiLevelType w:val="singleLevel"/>
    <w:tmpl w:val="E5A45D78"/>
    <w:lvl w:ilvl="0" w:tentative="0">
      <w:start w:val="1"/>
      <w:numFmt w:val="decimal"/>
      <w:suff w:val="nothing"/>
      <w:lvlText w:val="%1．"/>
      <w:lvlJc w:val="left"/>
      <w:pPr>
        <w:ind w:left="0" w:firstLine="400"/>
      </w:pPr>
      <w:rPr>
        <w:rFonts w:hint="default"/>
      </w:rPr>
    </w:lvl>
  </w:abstractNum>
  <w:abstractNum w:abstractNumId="15">
    <w:nsid w:val="ED5A957C"/>
    <w:multiLevelType w:val="singleLevel"/>
    <w:tmpl w:val="ED5A957C"/>
    <w:lvl w:ilvl="0" w:tentative="0">
      <w:start w:val="1"/>
      <w:numFmt w:val="decimal"/>
      <w:suff w:val="nothing"/>
      <w:lvlText w:val="%1．"/>
      <w:lvlJc w:val="left"/>
      <w:pPr>
        <w:ind w:left="0" w:firstLine="400"/>
      </w:pPr>
      <w:rPr>
        <w:rFonts w:hint="default"/>
      </w:rPr>
    </w:lvl>
  </w:abstractNum>
  <w:abstractNum w:abstractNumId="16">
    <w:nsid w:val="F0690599"/>
    <w:multiLevelType w:val="singleLevel"/>
    <w:tmpl w:val="F0690599"/>
    <w:lvl w:ilvl="0" w:tentative="0">
      <w:start w:val="1"/>
      <w:numFmt w:val="decimal"/>
      <w:suff w:val="nothing"/>
      <w:lvlText w:val="%1．"/>
      <w:lvlJc w:val="left"/>
      <w:pPr>
        <w:ind w:left="0" w:firstLine="400"/>
      </w:pPr>
      <w:rPr>
        <w:rFonts w:hint="default"/>
      </w:rPr>
    </w:lvl>
  </w:abstractNum>
  <w:abstractNum w:abstractNumId="17">
    <w:nsid w:val="F3AC2450"/>
    <w:multiLevelType w:val="singleLevel"/>
    <w:tmpl w:val="F3AC2450"/>
    <w:lvl w:ilvl="0" w:tentative="0">
      <w:start w:val="1"/>
      <w:numFmt w:val="chineseCounting"/>
      <w:suff w:val="nothing"/>
      <w:lvlText w:val="（%1）"/>
      <w:lvlJc w:val="left"/>
      <w:pPr>
        <w:ind w:left="0" w:firstLine="420"/>
      </w:pPr>
      <w:rPr>
        <w:rFonts w:hint="eastAsia"/>
      </w:rPr>
    </w:lvl>
  </w:abstractNum>
  <w:abstractNum w:abstractNumId="18">
    <w:nsid w:val="F6A29B93"/>
    <w:multiLevelType w:val="singleLevel"/>
    <w:tmpl w:val="F6A29B93"/>
    <w:lvl w:ilvl="0" w:tentative="0">
      <w:start w:val="1"/>
      <w:numFmt w:val="decimal"/>
      <w:suff w:val="nothing"/>
      <w:lvlText w:val="%1．"/>
      <w:lvlJc w:val="left"/>
      <w:pPr>
        <w:ind w:left="0" w:firstLine="400"/>
      </w:pPr>
      <w:rPr>
        <w:rFonts w:hint="default"/>
      </w:rPr>
    </w:lvl>
  </w:abstractNum>
  <w:abstractNum w:abstractNumId="19">
    <w:nsid w:val="F6F6B2E2"/>
    <w:multiLevelType w:val="singleLevel"/>
    <w:tmpl w:val="F6F6B2E2"/>
    <w:lvl w:ilvl="0" w:tentative="0">
      <w:start w:val="1"/>
      <w:numFmt w:val="decimal"/>
      <w:suff w:val="nothing"/>
      <w:lvlText w:val="%1．"/>
      <w:lvlJc w:val="left"/>
      <w:pPr>
        <w:ind w:left="0" w:firstLine="400"/>
      </w:pPr>
      <w:rPr>
        <w:rFonts w:hint="default"/>
      </w:rPr>
    </w:lvl>
  </w:abstractNum>
  <w:abstractNum w:abstractNumId="20">
    <w:nsid w:val="00000012"/>
    <w:multiLevelType w:val="multilevel"/>
    <w:tmpl w:val="00000012"/>
    <w:lvl w:ilvl="0" w:tentative="0">
      <w:start w:val="1"/>
      <w:numFmt w:val="japaneseCounting"/>
      <w:lvlText w:val="%1、"/>
      <w:lvlJc w:val="left"/>
      <w:pPr>
        <w:ind w:left="360" w:hanging="36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644C568"/>
    <w:multiLevelType w:val="singleLevel"/>
    <w:tmpl w:val="0644C568"/>
    <w:lvl w:ilvl="0" w:tentative="0">
      <w:start w:val="1"/>
      <w:numFmt w:val="chineseCounting"/>
      <w:suff w:val="nothing"/>
      <w:lvlText w:val="（%1）"/>
      <w:lvlJc w:val="left"/>
      <w:pPr>
        <w:ind w:left="0" w:firstLine="420"/>
      </w:pPr>
      <w:rPr>
        <w:rFonts w:hint="eastAsia"/>
      </w:rPr>
    </w:lvl>
  </w:abstractNum>
  <w:abstractNum w:abstractNumId="22">
    <w:nsid w:val="085718BA"/>
    <w:multiLevelType w:val="singleLevel"/>
    <w:tmpl w:val="085718BA"/>
    <w:lvl w:ilvl="0" w:tentative="0">
      <w:start w:val="6"/>
      <w:numFmt w:val="chineseCounting"/>
      <w:suff w:val="nothing"/>
      <w:lvlText w:val="%1、"/>
      <w:lvlJc w:val="left"/>
      <w:rPr>
        <w:rFonts w:hint="eastAsia"/>
      </w:rPr>
    </w:lvl>
  </w:abstractNum>
  <w:abstractNum w:abstractNumId="23">
    <w:nsid w:val="087C555E"/>
    <w:multiLevelType w:val="singleLevel"/>
    <w:tmpl w:val="087C555E"/>
    <w:lvl w:ilvl="0" w:tentative="0">
      <w:start w:val="1"/>
      <w:numFmt w:val="decimal"/>
      <w:lvlText w:val="%1."/>
      <w:lvlJc w:val="left"/>
      <w:pPr>
        <w:tabs>
          <w:tab w:val="left" w:pos="312"/>
        </w:tabs>
      </w:pPr>
    </w:lvl>
  </w:abstractNum>
  <w:abstractNum w:abstractNumId="24">
    <w:nsid w:val="095C59BC"/>
    <w:multiLevelType w:val="singleLevel"/>
    <w:tmpl w:val="095C59BC"/>
    <w:lvl w:ilvl="0" w:tentative="0">
      <w:start w:val="1"/>
      <w:numFmt w:val="decimal"/>
      <w:suff w:val="nothing"/>
      <w:lvlText w:val="%1．"/>
      <w:lvlJc w:val="left"/>
      <w:pPr>
        <w:ind w:left="0" w:firstLine="400"/>
      </w:pPr>
      <w:rPr>
        <w:rFonts w:hint="default"/>
      </w:rPr>
    </w:lvl>
  </w:abstractNum>
  <w:abstractNum w:abstractNumId="25">
    <w:nsid w:val="0C5FAF76"/>
    <w:multiLevelType w:val="singleLevel"/>
    <w:tmpl w:val="0C5FAF76"/>
    <w:lvl w:ilvl="0" w:tentative="0">
      <w:start w:val="1"/>
      <w:numFmt w:val="chineseCounting"/>
      <w:suff w:val="nothing"/>
      <w:lvlText w:val="%1、"/>
      <w:lvlJc w:val="left"/>
      <w:pPr>
        <w:ind w:left="0" w:firstLine="420"/>
      </w:pPr>
      <w:rPr>
        <w:rFonts w:hint="eastAsia"/>
      </w:rPr>
    </w:lvl>
  </w:abstractNum>
  <w:abstractNum w:abstractNumId="26">
    <w:nsid w:val="158D13D3"/>
    <w:multiLevelType w:val="singleLevel"/>
    <w:tmpl w:val="158D13D3"/>
    <w:lvl w:ilvl="0" w:tentative="0">
      <w:start w:val="1"/>
      <w:numFmt w:val="decimal"/>
      <w:suff w:val="nothing"/>
      <w:lvlText w:val="（%1）"/>
      <w:lvlJc w:val="left"/>
    </w:lvl>
  </w:abstractNum>
  <w:abstractNum w:abstractNumId="27">
    <w:nsid w:val="193C42F8"/>
    <w:multiLevelType w:val="multilevel"/>
    <w:tmpl w:val="193C42F8"/>
    <w:lvl w:ilvl="0" w:tentative="0">
      <w:start w:val="1"/>
      <w:numFmt w:val="decimal"/>
      <w:lvlText w:val="%1）"/>
      <w:lvlJc w:val="left"/>
      <w:pPr>
        <w:ind w:left="1438" w:hanging="360"/>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8">
    <w:nsid w:val="22D6ECA1"/>
    <w:multiLevelType w:val="singleLevel"/>
    <w:tmpl w:val="22D6ECA1"/>
    <w:lvl w:ilvl="0" w:tentative="0">
      <w:start w:val="1"/>
      <w:numFmt w:val="decimal"/>
      <w:lvlText w:val="%1."/>
      <w:lvlJc w:val="left"/>
      <w:pPr>
        <w:ind w:left="425" w:hanging="425"/>
      </w:pPr>
      <w:rPr>
        <w:rFonts w:hint="default"/>
      </w:rPr>
    </w:lvl>
  </w:abstractNum>
  <w:abstractNum w:abstractNumId="29">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chineseCounting"/>
      <w:lvlText w:val="（%2）"/>
      <w:lvlJc w:val="left"/>
      <w:pPr>
        <w:tabs>
          <w:tab w:val="left" w:pos="780"/>
        </w:tabs>
        <w:ind w:left="780" w:hanging="360"/>
      </w:pPr>
      <w:rPr>
        <w:rFonts w:hint="eastAsia"/>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272DE0E5"/>
    <w:multiLevelType w:val="singleLevel"/>
    <w:tmpl w:val="272DE0E5"/>
    <w:lvl w:ilvl="0" w:tentative="0">
      <w:start w:val="1"/>
      <w:numFmt w:val="decimal"/>
      <w:suff w:val="nothing"/>
      <w:lvlText w:val="%1、"/>
      <w:lvlJc w:val="left"/>
    </w:lvl>
  </w:abstractNum>
  <w:abstractNum w:abstractNumId="31">
    <w:nsid w:val="2C61436A"/>
    <w:multiLevelType w:val="multilevel"/>
    <w:tmpl w:val="2C61436A"/>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A3A55E"/>
    <w:multiLevelType w:val="multilevel"/>
    <w:tmpl w:val="2CA3A55E"/>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34">
    <w:nsid w:val="2F688D7F"/>
    <w:multiLevelType w:val="singleLevel"/>
    <w:tmpl w:val="2F688D7F"/>
    <w:lvl w:ilvl="0" w:tentative="0">
      <w:start w:val="1"/>
      <w:numFmt w:val="decimal"/>
      <w:suff w:val="nothing"/>
      <w:lvlText w:val="%1）"/>
      <w:lvlJc w:val="left"/>
    </w:lvl>
  </w:abstractNum>
  <w:abstractNum w:abstractNumId="35">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36">
    <w:nsid w:val="374B7DC5"/>
    <w:multiLevelType w:val="multilevel"/>
    <w:tmpl w:val="374B7D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90C95A7"/>
    <w:multiLevelType w:val="multilevel"/>
    <w:tmpl w:val="390C95A7"/>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C8F0767"/>
    <w:multiLevelType w:val="singleLevel"/>
    <w:tmpl w:val="3C8F0767"/>
    <w:lvl w:ilvl="0" w:tentative="0">
      <w:start w:val="1"/>
      <w:numFmt w:val="decimal"/>
      <w:suff w:val="nothing"/>
      <w:lvlText w:val="%1．"/>
      <w:lvlJc w:val="left"/>
      <w:pPr>
        <w:ind w:left="0" w:firstLine="400"/>
      </w:pPr>
      <w:rPr>
        <w:rFonts w:hint="default"/>
      </w:rPr>
    </w:lvl>
  </w:abstractNum>
  <w:abstractNum w:abstractNumId="39">
    <w:nsid w:val="3D46B8F5"/>
    <w:multiLevelType w:val="singleLevel"/>
    <w:tmpl w:val="3D46B8F5"/>
    <w:lvl w:ilvl="0" w:tentative="0">
      <w:start w:val="1"/>
      <w:numFmt w:val="decimal"/>
      <w:suff w:val="nothing"/>
      <w:lvlText w:val="%1）"/>
      <w:lvlJc w:val="left"/>
    </w:lvl>
  </w:abstractNum>
  <w:abstractNum w:abstractNumId="40">
    <w:nsid w:val="3DAF96F0"/>
    <w:multiLevelType w:val="singleLevel"/>
    <w:tmpl w:val="3DAF96F0"/>
    <w:lvl w:ilvl="0" w:tentative="0">
      <w:start w:val="1"/>
      <w:numFmt w:val="decimal"/>
      <w:suff w:val="nothing"/>
      <w:lvlText w:val="%1．"/>
      <w:lvlJc w:val="left"/>
      <w:pPr>
        <w:ind w:left="0" w:firstLine="400"/>
      </w:pPr>
      <w:rPr>
        <w:rFonts w:hint="default"/>
      </w:rPr>
    </w:lvl>
  </w:abstractNum>
  <w:abstractNum w:abstractNumId="41">
    <w:nsid w:val="4043F6AC"/>
    <w:multiLevelType w:val="singleLevel"/>
    <w:tmpl w:val="4043F6AC"/>
    <w:lvl w:ilvl="0" w:tentative="0">
      <w:start w:val="1"/>
      <w:numFmt w:val="chineseCounting"/>
      <w:suff w:val="nothing"/>
      <w:lvlText w:val="（%1）"/>
      <w:lvlJc w:val="left"/>
      <w:pPr>
        <w:ind w:left="0" w:firstLine="420"/>
      </w:pPr>
      <w:rPr>
        <w:rFonts w:hint="eastAsia"/>
      </w:rPr>
    </w:lvl>
  </w:abstractNum>
  <w:abstractNum w:abstractNumId="42">
    <w:nsid w:val="437F1085"/>
    <w:multiLevelType w:val="multilevel"/>
    <w:tmpl w:val="437F1085"/>
    <w:lvl w:ilvl="0" w:tentative="0">
      <w:start w:val="1"/>
      <w:numFmt w:val="chineseCountingThousand"/>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3">
    <w:nsid w:val="43A068E6"/>
    <w:multiLevelType w:val="singleLevel"/>
    <w:tmpl w:val="43A068E6"/>
    <w:lvl w:ilvl="0" w:tentative="0">
      <w:start w:val="1"/>
      <w:numFmt w:val="decimal"/>
      <w:suff w:val="nothing"/>
      <w:lvlText w:val="%1．"/>
      <w:lvlJc w:val="left"/>
      <w:pPr>
        <w:ind w:left="0" w:firstLine="400"/>
      </w:pPr>
      <w:rPr>
        <w:rFonts w:hint="default"/>
      </w:rPr>
    </w:lvl>
  </w:abstractNum>
  <w:abstractNum w:abstractNumId="44">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5">
    <w:nsid w:val="4B170510"/>
    <w:multiLevelType w:val="multilevel"/>
    <w:tmpl w:val="4B170510"/>
    <w:lvl w:ilvl="0" w:tentative="0">
      <w:start w:val="1"/>
      <w:numFmt w:val="decimal"/>
      <w:lvlText w:val="%1)"/>
      <w:lvlJc w:val="left"/>
      <w:pPr>
        <w:ind w:left="420" w:hanging="420"/>
      </w:pPr>
      <w:rPr>
        <w:rFonts w:ascii="宋体" w:hAnsi="宋体" w:eastAsia="宋体"/>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540376BD"/>
    <w:multiLevelType w:val="multilevel"/>
    <w:tmpl w:val="540376BD"/>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59EC7344"/>
    <w:multiLevelType w:val="multilevel"/>
    <w:tmpl w:val="59EC7344"/>
    <w:lvl w:ilvl="0" w:tentative="0">
      <w:start w:val="1"/>
      <w:numFmt w:val="decimal"/>
      <w:lvlText w:val="%1."/>
      <w:lvlJc w:val="left"/>
      <w:pPr>
        <w:ind w:left="630" w:hanging="420"/>
      </w:pPr>
      <w:rPr>
        <w:rFonts w:hint="eastAsia" w:ascii="宋体" w:hAnsi="宋体" w:eastAsia="宋体"/>
        <w:b w:val="0"/>
        <w:sz w:val="21"/>
        <w:szCs w:val="21"/>
      </w:rPr>
    </w:lvl>
    <w:lvl w:ilvl="1" w:tentative="0">
      <w:start w:val="1"/>
      <w:numFmt w:val="lowerLetter"/>
      <w:lvlText w:val="%2)"/>
      <w:lvlJc w:val="left"/>
      <w:pPr>
        <w:ind w:left="766" w:hanging="420"/>
      </w:pPr>
    </w:lvl>
    <w:lvl w:ilvl="2" w:tentative="0">
      <w:start w:val="1"/>
      <w:numFmt w:val="lowerRoman"/>
      <w:lvlText w:val="%3."/>
      <w:lvlJc w:val="right"/>
      <w:pPr>
        <w:ind w:left="1186" w:hanging="420"/>
      </w:pPr>
    </w:lvl>
    <w:lvl w:ilvl="3" w:tentative="0">
      <w:start w:val="1"/>
      <w:numFmt w:val="decimal"/>
      <w:lvlText w:val="%4."/>
      <w:lvlJc w:val="left"/>
      <w:pPr>
        <w:ind w:left="1606" w:hanging="420"/>
      </w:pPr>
    </w:lvl>
    <w:lvl w:ilvl="4" w:tentative="0">
      <w:start w:val="1"/>
      <w:numFmt w:val="lowerLetter"/>
      <w:lvlText w:val="%5)"/>
      <w:lvlJc w:val="left"/>
      <w:pPr>
        <w:ind w:left="2026" w:hanging="420"/>
      </w:pPr>
    </w:lvl>
    <w:lvl w:ilvl="5" w:tentative="0">
      <w:start w:val="1"/>
      <w:numFmt w:val="lowerRoman"/>
      <w:lvlText w:val="%6."/>
      <w:lvlJc w:val="right"/>
      <w:pPr>
        <w:ind w:left="2446" w:hanging="420"/>
      </w:pPr>
    </w:lvl>
    <w:lvl w:ilvl="6" w:tentative="0">
      <w:start w:val="1"/>
      <w:numFmt w:val="decimal"/>
      <w:lvlText w:val="%7."/>
      <w:lvlJc w:val="left"/>
      <w:pPr>
        <w:ind w:left="2866" w:hanging="420"/>
      </w:pPr>
    </w:lvl>
    <w:lvl w:ilvl="7" w:tentative="0">
      <w:start w:val="1"/>
      <w:numFmt w:val="lowerLetter"/>
      <w:lvlText w:val="%8)"/>
      <w:lvlJc w:val="left"/>
      <w:pPr>
        <w:ind w:left="3286" w:hanging="420"/>
      </w:pPr>
    </w:lvl>
    <w:lvl w:ilvl="8" w:tentative="0">
      <w:start w:val="1"/>
      <w:numFmt w:val="lowerRoman"/>
      <w:lvlText w:val="%9."/>
      <w:lvlJc w:val="right"/>
      <w:pPr>
        <w:ind w:left="3706" w:hanging="420"/>
      </w:pPr>
    </w:lvl>
  </w:abstractNum>
  <w:abstractNum w:abstractNumId="49">
    <w:nsid w:val="5B0DD57E"/>
    <w:multiLevelType w:val="singleLevel"/>
    <w:tmpl w:val="5B0DD57E"/>
    <w:lvl w:ilvl="0" w:tentative="0">
      <w:start w:val="1"/>
      <w:numFmt w:val="decimal"/>
      <w:suff w:val="nothing"/>
      <w:lvlText w:val="%1）"/>
      <w:lvlJc w:val="left"/>
    </w:lvl>
  </w:abstractNum>
  <w:abstractNum w:abstractNumId="50">
    <w:nsid w:val="5BE68CCE"/>
    <w:multiLevelType w:val="singleLevel"/>
    <w:tmpl w:val="5BE68CCE"/>
    <w:lvl w:ilvl="0" w:tentative="0">
      <w:start w:val="1"/>
      <w:numFmt w:val="decimal"/>
      <w:suff w:val="nothing"/>
      <w:lvlText w:val="%1、"/>
      <w:lvlJc w:val="left"/>
    </w:lvl>
  </w:abstractNum>
  <w:abstractNum w:abstractNumId="51">
    <w:nsid w:val="5C540F2C"/>
    <w:multiLevelType w:val="singleLevel"/>
    <w:tmpl w:val="5C540F2C"/>
    <w:lvl w:ilvl="0" w:tentative="0">
      <w:start w:val="1"/>
      <w:numFmt w:val="decimal"/>
      <w:suff w:val="nothing"/>
      <w:lvlText w:val="%1、"/>
      <w:lvlJc w:val="left"/>
    </w:lvl>
  </w:abstractNum>
  <w:abstractNum w:abstractNumId="52">
    <w:nsid w:val="5CDD5E3D"/>
    <w:multiLevelType w:val="multilevel"/>
    <w:tmpl w:val="5CDD5E3D"/>
    <w:lvl w:ilvl="0" w:tentative="0">
      <w:start w:val="1"/>
      <w:numFmt w:val="decimal"/>
      <w:lvlText w:val="%1."/>
      <w:lvlJc w:val="left"/>
      <w:pPr>
        <w:ind w:left="425" w:hanging="425"/>
      </w:pPr>
    </w:lvl>
    <w:lvl w:ilvl="1" w:tentative="0">
      <w:start w:val="1"/>
      <w:numFmt w:val="decimal"/>
      <w:pStyle w:val="136"/>
      <w:suff w:val="space"/>
      <w:lvlText w:val="%1.%2."/>
      <w:lvlJc w:val="left"/>
      <w:pPr>
        <w:tabs>
          <w:tab w:val="left" w:pos="0"/>
        </w:tabs>
        <w:ind w:left="0" w:firstLine="0"/>
      </w:pPr>
      <w:rPr>
        <w:rFonts w:hint="eastAsia" w:ascii="仿宋_GB2312" w:hAnsi="仿宋_GB2312" w:eastAsia="仿宋_GB2312" w:cs="仿宋_GB2312"/>
      </w:rPr>
    </w:lvl>
    <w:lvl w:ilvl="2" w:tentative="0">
      <w:start w:val="1"/>
      <w:numFmt w:val="decimal"/>
      <w:lvlText w:val="%1.%2.%3."/>
      <w:lvlJc w:val="left"/>
      <w:pPr>
        <w:ind w:left="1508" w:hanging="708"/>
      </w:pPr>
    </w:lvl>
    <w:lvl w:ilvl="3" w:tentative="0">
      <w:start w:val="1"/>
      <w:numFmt w:val="decimal"/>
      <w:lvlText w:val="%1.%2.%3.%4."/>
      <w:lvlJc w:val="left"/>
      <w:pPr>
        <w:ind w:left="2053" w:hanging="853"/>
      </w:pPr>
    </w:lvl>
    <w:lvl w:ilvl="4" w:tentative="0">
      <w:start w:val="1"/>
      <w:numFmt w:val="decimal"/>
      <w:lvlText w:val="%1.%2.%3.%4.%5."/>
      <w:lvlJc w:val="left"/>
      <w:pPr>
        <w:ind w:left="2495" w:hanging="895"/>
      </w:pPr>
    </w:lvl>
    <w:lvl w:ilvl="5" w:tentative="0">
      <w:start w:val="1"/>
      <w:numFmt w:val="decimal"/>
      <w:lvlText w:val="%1.%2.%3.%4.%5.%6."/>
      <w:lvlJc w:val="left"/>
      <w:pPr>
        <w:ind w:left="3136" w:hanging="1136"/>
      </w:pPr>
    </w:lvl>
    <w:lvl w:ilvl="6" w:tentative="0">
      <w:start w:val="1"/>
      <w:numFmt w:val="decimal"/>
      <w:lvlText w:val="%1.%2.%3.%4.%5.%6.%7."/>
      <w:lvlJc w:val="left"/>
      <w:pPr>
        <w:ind w:left="3673" w:hanging="1273"/>
      </w:pPr>
    </w:lvl>
    <w:lvl w:ilvl="7" w:tentative="0">
      <w:start w:val="1"/>
      <w:numFmt w:val="decimal"/>
      <w:lvlText w:val="%1.%2.%3.%4.%5.%6.%7.%8."/>
      <w:lvlJc w:val="left"/>
      <w:pPr>
        <w:ind w:left="4218" w:hanging="1418"/>
      </w:pPr>
    </w:lvl>
    <w:lvl w:ilvl="8" w:tentative="0">
      <w:start w:val="1"/>
      <w:numFmt w:val="decimal"/>
      <w:lvlText w:val="%1.%2.%3.%4.%5.%6.%7.%8.%9."/>
      <w:lvlJc w:val="left"/>
      <w:pPr>
        <w:ind w:left="4648" w:hanging="1448"/>
      </w:pPr>
    </w:lvl>
  </w:abstractNum>
  <w:abstractNum w:abstractNumId="5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5F22CB03"/>
    <w:multiLevelType w:val="singleLevel"/>
    <w:tmpl w:val="5F22CB03"/>
    <w:lvl w:ilvl="0" w:tentative="0">
      <w:start w:val="1"/>
      <w:numFmt w:val="decimal"/>
      <w:suff w:val="nothing"/>
      <w:lvlText w:val="%1）"/>
      <w:lvlJc w:val="left"/>
    </w:lvl>
  </w:abstractNum>
  <w:abstractNum w:abstractNumId="55">
    <w:nsid w:val="600914E3"/>
    <w:multiLevelType w:val="multilevel"/>
    <w:tmpl w:val="600914E3"/>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7">
    <w:nsid w:val="65734030"/>
    <w:multiLevelType w:val="multilevel"/>
    <w:tmpl w:val="6573403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6D75B6B"/>
    <w:multiLevelType w:val="singleLevel"/>
    <w:tmpl w:val="66D75B6B"/>
    <w:lvl w:ilvl="0" w:tentative="0">
      <w:start w:val="1"/>
      <w:numFmt w:val="decimal"/>
      <w:suff w:val="nothing"/>
      <w:lvlText w:val="%1．"/>
      <w:lvlJc w:val="left"/>
      <w:pPr>
        <w:ind w:left="0" w:firstLine="400"/>
      </w:pPr>
      <w:rPr>
        <w:rFonts w:hint="default"/>
      </w:rPr>
    </w:lvl>
  </w:abstractNum>
  <w:abstractNum w:abstractNumId="59">
    <w:nsid w:val="66EA89EB"/>
    <w:multiLevelType w:val="singleLevel"/>
    <w:tmpl w:val="66EA89EB"/>
    <w:lvl w:ilvl="0" w:tentative="0">
      <w:start w:val="1"/>
      <w:numFmt w:val="decimal"/>
      <w:suff w:val="nothing"/>
      <w:lvlText w:val="%1．"/>
      <w:lvlJc w:val="left"/>
      <w:pPr>
        <w:ind w:left="0" w:firstLine="400"/>
      </w:pPr>
      <w:rPr>
        <w:rFonts w:hint="default"/>
      </w:rPr>
    </w:lvl>
  </w:abstractNum>
  <w:abstractNum w:abstractNumId="60">
    <w:nsid w:val="67A43B64"/>
    <w:multiLevelType w:val="multilevel"/>
    <w:tmpl w:val="67A43B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9D49BB9"/>
    <w:multiLevelType w:val="singleLevel"/>
    <w:tmpl w:val="69D49BB9"/>
    <w:lvl w:ilvl="0" w:tentative="0">
      <w:start w:val="1"/>
      <w:numFmt w:val="decimal"/>
      <w:suff w:val="nothing"/>
      <w:lvlText w:val="%1）"/>
      <w:lvlJc w:val="left"/>
    </w:lvl>
  </w:abstractNum>
  <w:abstractNum w:abstractNumId="62">
    <w:nsid w:val="7411E99A"/>
    <w:multiLevelType w:val="singleLevel"/>
    <w:tmpl w:val="7411E99A"/>
    <w:lvl w:ilvl="0" w:tentative="0">
      <w:start w:val="1"/>
      <w:numFmt w:val="decimal"/>
      <w:suff w:val="nothing"/>
      <w:lvlText w:val="%1．"/>
      <w:lvlJc w:val="left"/>
      <w:pPr>
        <w:ind w:left="0" w:firstLine="400"/>
      </w:pPr>
      <w:rPr>
        <w:rFonts w:hint="default"/>
      </w:rPr>
    </w:lvl>
  </w:abstractNum>
  <w:abstractNum w:abstractNumId="63">
    <w:nsid w:val="741759A0"/>
    <w:multiLevelType w:val="multilevel"/>
    <w:tmpl w:val="741759A0"/>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4F7702C"/>
    <w:multiLevelType w:val="multilevel"/>
    <w:tmpl w:val="74F7702C"/>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7A2CC935"/>
    <w:multiLevelType w:val="singleLevel"/>
    <w:tmpl w:val="7A2CC935"/>
    <w:lvl w:ilvl="0" w:tentative="0">
      <w:start w:val="1"/>
      <w:numFmt w:val="decimal"/>
      <w:lvlText w:val="%1."/>
      <w:lvlJc w:val="left"/>
      <w:pPr>
        <w:tabs>
          <w:tab w:val="left" w:pos="312"/>
        </w:tabs>
      </w:pPr>
    </w:lvl>
  </w:abstractNum>
  <w:abstractNum w:abstractNumId="67">
    <w:nsid w:val="7A851134"/>
    <w:multiLevelType w:val="multilevel"/>
    <w:tmpl w:val="7A851134"/>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8">
    <w:nsid w:val="7ED43C17"/>
    <w:multiLevelType w:val="singleLevel"/>
    <w:tmpl w:val="7ED43C17"/>
    <w:lvl w:ilvl="0" w:tentative="0">
      <w:start w:val="1"/>
      <w:numFmt w:val="decimal"/>
      <w:suff w:val="nothing"/>
      <w:lvlText w:val="%1、"/>
      <w:lvlJc w:val="left"/>
    </w:lvl>
  </w:abstractNum>
  <w:num w:numId="1">
    <w:abstractNumId w:val="5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63"/>
  </w:num>
  <w:num w:numId="5">
    <w:abstractNumId w:val="37"/>
  </w:num>
  <w:num w:numId="6">
    <w:abstractNumId w:val="47"/>
  </w:num>
  <w:num w:numId="7">
    <w:abstractNumId w:val="50"/>
  </w:num>
  <w:num w:numId="8">
    <w:abstractNumId w:val="29"/>
  </w:num>
  <w:num w:numId="9">
    <w:abstractNumId w:val="41"/>
  </w:num>
  <w:num w:numId="10">
    <w:abstractNumId w:val="17"/>
  </w:num>
  <w:num w:numId="11">
    <w:abstractNumId w:val="8"/>
  </w:num>
  <w:num w:numId="12">
    <w:abstractNumId w:val="54"/>
  </w:num>
  <w:num w:numId="13">
    <w:abstractNumId w:val="61"/>
  </w:num>
  <w:num w:numId="14">
    <w:abstractNumId w:val="14"/>
  </w:num>
  <w:num w:numId="15">
    <w:abstractNumId w:val="18"/>
  </w:num>
  <w:num w:numId="16">
    <w:abstractNumId w:val="2"/>
  </w:num>
  <w:num w:numId="17">
    <w:abstractNumId w:val="11"/>
  </w:num>
  <w:num w:numId="18">
    <w:abstractNumId w:val="40"/>
  </w:num>
  <w:num w:numId="19">
    <w:abstractNumId w:val="62"/>
  </w:num>
  <w:num w:numId="20">
    <w:abstractNumId w:val="56"/>
  </w:num>
  <w:num w:numId="21">
    <w:abstractNumId w:val="64"/>
  </w:num>
  <w:num w:numId="22">
    <w:abstractNumId w:val="46"/>
  </w:num>
  <w:num w:numId="23">
    <w:abstractNumId w:val="57"/>
  </w:num>
  <w:num w:numId="24">
    <w:abstractNumId w:val="10"/>
  </w:num>
  <w:num w:numId="25">
    <w:abstractNumId w:val="7"/>
  </w:num>
  <w:num w:numId="26">
    <w:abstractNumId w:val="25"/>
  </w:num>
  <w:num w:numId="27">
    <w:abstractNumId w:val="68"/>
  </w:num>
  <w:num w:numId="28">
    <w:abstractNumId w:val="26"/>
  </w:num>
  <w:num w:numId="29">
    <w:abstractNumId w:val="21"/>
  </w:num>
  <w:num w:numId="30">
    <w:abstractNumId w:val="16"/>
  </w:num>
  <w:num w:numId="31">
    <w:abstractNumId w:val="49"/>
  </w:num>
  <w:num w:numId="32">
    <w:abstractNumId w:val="34"/>
  </w:num>
  <w:num w:numId="33">
    <w:abstractNumId w:val="38"/>
  </w:num>
  <w:num w:numId="34">
    <w:abstractNumId w:val="24"/>
  </w:num>
  <w:num w:numId="35">
    <w:abstractNumId w:val="13"/>
  </w:num>
  <w:num w:numId="36">
    <w:abstractNumId w:val="15"/>
  </w:num>
  <w:num w:numId="37">
    <w:abstractNumId w:val="1"/>
  </w:num>
  <w:num w:numId="38">
    <w:abstractNumId w:val="59"/>
  </w:num>
  <w:num w:numId="39">
    <w:abstractNumId w:val="58"/>
  </w:num>
  <w:num w:numId="40">
    <w:abstractNumId w:val="3"/>
  </w:num>
  <w:num w:numId="41">
    <w:abstractNumId w:val="43"/>
  </w:num>
  <w:num w:numId="42">
    <w:abstractNumId w:val="19"/>
  </w:num>
  <w:num w:numId="43">
    <w:abstractNumId w:val="36"/>
  </w:num>
  <w:num w:numId="44">
    <w:abstractNumId w:val="48"/>
  </w:num>
  <w:num w:numId="45">
    <w:abstractNumId w:val="31"/>
  </w:num>
  <w:num w:numId="46">
    <w:abstractNumId w:val="35"/>
  </w:num>
  <w:num w:numId="47">
    <w:abstractNumId w:val="67"/>
  </w:num>
  <w:num w:numId="48">
    <w:abstractNumId w:val="33"/>
  </w:num>
  <w:num w:numId="49">
    <w:abstractNumId w:val="44"/>
  </w:num>
  <w:num w:numId="50">
    <w:abstractNumId w:val="65"/>
  </w:num>
  <w:num w:numId="51">
    <w:abstractNumId w:val="42"/>
  </w:num>
  <w:num w:numId="52">
    <w:abstractNumId w:val="4"/>
  </w:num>
  <w:num w:numId="53">
    <w:abstractNumId w:val="0"/>
  </w:num>
  <w:num w:numId="54">
    <w:abstractNumId w:val="30"/>
  </w:num>
  <w:num w:numId="55">
    <w:abstractNumId w:val="6"/>
  </w:num>
  <w:num w:numId="56">
    <w:abstractNumId w:val="51"/>
  </w:num>
  <w:num w:numId="57">
    <w:abstractNumId w:val="39"/>
  </w:num>
  <w:num w:numId="58">
    <w:abstractNumId w:val="9"/>
  </w:num>
  <w:num w:numId="59">
    <w:abstractNumId w:val="12"/>
  </w:num>
  <w:num w:numId="60">
    <w:abstractNumId w:val="23"/>
  </w:num>
  <w:num w:numId="61">
    <w:abstractNumId w:val="32"/>
  </w:num>
  <w:num w:numId="62">
    <w:abstractNumId w:val="5"/>
  </w:num>
  <w:num w:numId="63">
    <w:abstractNumId w:val="66"/>
  </w:num>
  <w:num w:numId="64">
    <w:abstractNumId w:val="45"/>
  </w:num>
  <w:num w:numId="65">
    <w:abstractNumId w:val="60"/>
  </w:num>
  <w:num w:numId="66">
    <w:abstractNumId w:val="55"/>
  </w:num>
  <w:num w:numId="67">
    <w:abstractNumId w:val="53"/>
  </w:num>
  <w:num w:numId="68">
    <w:abstractNumId w:val="27"/>
  </w:num>
  <w:num w:numId="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9B"/>
    <w:rsid w:val="00000FD2"/>
    <w:rsid w:val="00001700"/>
    <w:rsid w:val="00001A29"/>
    <w:rsid w:val="000027A4"/>
    <w:rsid w:val="00002D66"/>
    <w:rsid w:val="00002ED5"/>
    <w:rsid w:val="00003B04"/>
    <w:rsid w:val="00003F22"/>
    <w:rsid w:val="00004029"/>
    <w:rsid w:val="00005705"/>
    <w:rsid w:val="0000582A"/>
    <w:rsid w:val="00005E82"/>
    <w:rsid w:val="00006753"/>
    <w:rsid w:val="000067BA"/>
    <w:rsid w:val="000073D9"/>
    <w:rsid w:val="0000783A"/>
    <w:rsid w:val="00007E3F"/>
    <w:rsid w:val="00010219"/>
    <w:rsid w:val="00010CCD"/>
    <w:rsid w:val="0001134A"/>
    <w:rsid w:val="000113F6"/>
    <w:rsid w:val="00011524"/>
    <w:rsid w:val="00011B4D"/>
    <w:rsid w:val="00012D15"/>
    <w:rsid w:val="00013112"/>
    <w:rsid w:val="0001322F"/>
    <w:rsid w:val="00013815"/>
    <w:rsid w:val="00014908"/>
    <w:rsid w:val="00015DB2"/>
    <w:rsid w:val="00016583"/>
    <w:rsid w:val="00017707"/>
    <w:rsid w:val="00020FB7"/>
    <w:rsid w:val="00021301"/>
    <w:rsid w:val="00021A96"/>
    <w:rsid w:val="000230B1"/>
    <w:rsid w:val="00024482"/>
    <w:rsid w:val="0002510B"/>
    <w:rsid w:val="0002533E"/>
    <w:rsid w:val="00025B3D"/>
    <w:rsid w:val="00027156"/>
    <w:rsid w:val="000305E5"/>
    <w:rsid w:val="0003302E"/>
    <w:rsid w:val="000336F5"/>
    <w:rsid w:val="00034900"/>
    <w:rsid w:val="000358D2"/>
    <w:rsid w:val="00036BE6"/>
    <w:rsid w:val="00036E7C"/>
    <w:rsid w:val="00036EBB"/>
    <w:rsid w:val="000372C4"/>
    <w:rsid w:val="000421F4"/>
    <w:rsid w:val="00042612"/>
    <w:rsid w:val="00042776"/>
    <w:rsid w:val="00044011"/>
    <w:rsid w:val="000447F3"/>
    <w:rsid w:val="00044823"/>
    <w:rsid w:val="00045787"/>
    <w:rsid w:val="00051B2A"/>
    <w:rsid w:val="00052742"/>
    <w:rsid w:val="00052F73"/>
    <w:rsid w:val="00054202"/>
    <w:rsid w:val="00056807"/>
    <w:rsid w:val="0005697A"/>
    <w:rsid w:val="00057F56"/>
    <w:rsid w:val="000608FC"/>
    <w:rsid w:val="00062FAB"/>
    <w:rsid w:val="0006314C"/>
    <w:rsid w:val="00063D2C"/>
    <w:rsid w:val="00063D8B"/>
    <w:rsid w:val="000644D3"/>
    <w:rsid w:val="00064F08"/>
    <w:rsid w:val="00065328"/>
    <w:rsid w:val="00065C0E"/>
    <w:rsid w:val="000662B8"/>
    <w:rsid w:val="00070F3F"/>
    <w:rsid w:val="000717FC"/>
    <w:rsid w:val="00072BFF"/>
    <w:rsid w:val="00073E4B"/>
    <w:rsid w:val="00074491"/>
    <w:rsid w:val="00074DFC"/>
    <w:rsid w:val="00076C3A"/>
    <w:rsid w:val="00077B96"/>
    <w:rsid w:val="00080811"/>
    <w:rsid w:val="0008121B"/>
    <w:rsid w:val="0008125D"/>
    <w:rsid w:val="000826E8"/>
    <w:rsid w:val="00083D05"/>
    <w:rsid w:val="00084BCA"/>
    <w:rsid w:val="00085E01"/>
    <w:rsid w:val="00085ED9"/>
    <w:rsid w:val="000870AB"/>
    <w:rsid w:val="000902F5"/>
    <w:rsid w:val="000907DF"/>
    <w:rsid w:val="0009106B"/>
    <w:rsid w:val="000913DB"/>
    <w:rsid w:val="00091433"/>
    <w:rsid w:val="000914EE"/>
    <w:rsid w:val="00091C48"/>
    <w:rsid w:val="00091C9A"/>
    <w:rsid w:val="0009213A"/>
    <w:rsid w:val="000922CA"/>
    <w:rsid w:val="0009268A"/>
    <w:rsid w:val="000937A1"/>
    <w:rsid w:val="000940C8"/>
    <w:rsid w:val="0009422F"/>
    <w:rsid w:val="00094451"/>
    <w:rsid w:val="00096625"/>
    <w:rsid w:val="00096D9D"/>
    <w:rsid w:val="0009795D"/>
    <w:rsid w:val="00097E23"/>
    <w:rsid w:val="000A2A24"/>
    <w:rsid w:val="000A2A96"/>
    <w:rsid w:val="000A458C"/>
    <w:rsid w:val="000A5579"/>
    <w:rsid w:val="000A659B"/>
    <w:rsid w:val="000A6DE6"/>
    <w:rsid w:val="000B0B86"/>
    <w:rsid w:val="000B2B4E"/>
    <w:rsid w:val="000B4393"/>
    <w:rsid w:val="000B44C1"/>
    <w:rsid w:val="000B48A4"/>
    <w:rsid w:val="000B6F5E"/>
    <w:rsid w:val="000B759F"/>
    <w:rsid w:val="000C069F"/>
    <w:rsid w:val="000C14EE"/>
    <w:rsid w:val="000C1570"/>
    <w:rsid w:val="000C1B3F"/>
    <w:rsid w:val="000C1F87"/>
    <w:rsid w:val="000C221D"/>
    <w:rsid w:val="000C29A0"/>
    <w:rsid w:val="000C36DF"/>
    <w:rsid w:val="000C6BEE"/>
    <w:rsid w:val="000D0483"/>
    <w:rsid w:val="000D0EC5"/>
    <w:rsid w:val="000D16C9"/>
    <w:rsid w:val="000D32D1"/>
    <w:rsid w:val="000D529F"/>
    <w:rsid w:val="000D56F8"/>
    <w:rsid w:val="000D6897"/>
    <w:rsid w:val="000D7E3D"/>
    <w:rsid w:val="000E171F"/>
    <w:rsid w:val="000E2B1A"/>
    <w:rsid w:val="000E3096"/>
    <w:rsid w:val="000E35B4"/>
    <w:rsid w:val="000E6B1A"/>
    <w:rsid w:val="000E735D"/>
    <w:rsid w:val="000F018F"/>
    <w:rsid w:val="000F04EA"/>
    <w:rsid w:val="000F1E26"/>
    <w:rsid w:val="000F2249"/>
    <w:rsid w:val="000F2EFB"/>
    <w:rsid w:val="000F41D2"/>
    <w:rsid w:val="000F5A45"/>
    <w:rsid w:val="000F5D87"/>
    <w:rsid w:val="000F5F6E"/>
    <w:rsid w:val="0010009E"/>
    <w:rsid w:val="00100460"/>
    <w:rsid w:val="001008E8"/>
    <w:rsid w:val="00104957"/>
    <w:rsid w:val="001058E2"/>
    <w:rsid w:val="00105AC1"/>
    <w:rsid w:val="001066F5"/>
    <w:rsid w:val="001077B2"/>
    <w:rsid w:val="00111985"/>
    <w:rsid w:val="00111E56"/>
    <w:rsid w:val="00111F67"/>
    <w:rsid w:val="00114B3C"/>
    <w:rsid w:val="00114CCC"/>
    <w:rsid w:val="00115624"/>
    <w:rsid w:val="001204ED"/>
    <w:rsid w:val="00120E6F"/>
    <w:rsid w:val="00122F1A"/>
    <w:rsid w:val="0012713F"/>
    <w:rsid w:val="00127232"/>
    <w:rsid w:val="001302A5"/>
    <w:rsid w:val="001302D6"/>
    <w:rsid w:val="0013238D"/>
    <w:rsid w:val="0013309B"/>
    <w:rsid w:val="0013496E"/>
    <w:rsid w:val="001351AB"/>
    <w:rsid w:val="00135E93"/>
    <w:rsid w:val="00136699"/>
    <w:rsid w:val="001368B4"/>
    <w:rsid w:val="00137142"/>
    <w:rsid w:val="0013792D"/>
    <w:rsid w:val="001408BB"/>
    <w:rsid w:val="001434A5"/>
    <w:rsid w:val="0014404F"/>
    <w:rsid w:val="00144DE7"/>
    <w:rsid w:val="001454EE"/>
    <w:rsid w:val="001457D5"/>
    <w:rsid w:val="001458AB"/>
    <w:rsid w:val="00150E64"/>
    <w:rsid w:val="00153301"/>
    <w:rsid w:val="0015371F"/>
    <w:rsid w:val="00153B9E"/>
    <w:rsid w:val="001546EB"/>
    <w:rsid w:val="00154813"/>
    <w:rsid w:val="00154B07"/>
    <w:rsid w:val="00155805"/>
    <w:rsid w:val="00155CDD"/>
    <w:rsid w:val="00162143"/>
    <w:rsid w:val="00162550"/>
    <w:rsid w:val="001632B3"/>
    <w:rsid w:val="001641D8"/>
    <w:rsid w:val="00166979"/>
    <w:rsid w:val="0016719F"/>
    <w:rsid w:val="001679AC"/>
    <w:rsid w:val="00170D22"/>
    <w:rsid w:val="001714F2"/>
    <w:rsid w:val="00171B4E"/>
    <w:rsid w:val="00172A27"/>
    <w:rsid w:val="00172C1A"/>
    <w:rsid w:val="00173D90"/>
    <w:rsid w:val="0017535E"/>
    <w:rsid w:val="00175B3E"/>
    <w:rsid w:val="00176392"/>
    <w:rsid w:val="00176EC9"/>
    <w:rsid w:val="00176FA7"/>
    <w:rsid w:val="00181FA1"/>
    <w:rsid w:val="00183025"/>
    <w:rsid w:val="00183241"/>
    <w:rsid w:val="001839BF"/>
    <w:rsid w:val="00184239"/>
    <w:rsid w:val="00184C83"/>
    <w:rsid w:val="00184EDB"/>
    <w:rsid w:val="001857EF"/>
    <w:rsid w:val="00185B93"/>
    <w:rsid w:val="0018637B"/>
    <w:rsid w:val="00186FE4"/>
    <w:rsid w:val="001900BC"/>
    <w:rsid w:val="0019030F"/>
    <w:rsid w:val="0019069F"/>
    <w:rsid w:val="00190B48"/>
    <w:rsid w:val="00191023"/>
    <w:rsid w:val="001913B4"/>
    <w:rsid w:val="00191927"/>
    <w:rsid w:val="00191F4C"/>
    <w:rsid w:val="00195153"/>
    <w:rsid w:val="0019556C"/>
    <w:rsid w:val="00195DF5"/>
    <w:rsid w:val="001965C7"/>
    <w:rsid w:val="00196CDD"/>
    <w:rsid w:val="00197590"/>
    <w:rsid w:val="001978C7"/>
    <w:rsid w:val="001979C2"/>
    <w:rsid w:val="001A0BF8"/>
    <w:rsid w:val="001A3C0A"/>
    <w:rsid w:val="001A4665"/>
    <w:rsid w:val="001A482A"/>
    <w:rsid w:val="001A580A"/>
    <w:rsid w:val="001A5E81"/>
    <w:rsid w:val="001A60D8"/>
    <w:rsid w:val="001A616C"/>
    <w:rsid w:val="001A6511"/>
    <w:rsid w:val="001A769B"/>
    <w:rsid w:val="001A7C1E"/>
    <w:rsid w:val="001B2082"/>
    <w:rsid w:val="001B2195"/>
    <w:rsid w:val="001B4665"/>
    <w:rsid w:val="001B4EE9"/>
    <w:rsid w:val="001B51FE"/>
    <w:rsid w:val="001B5E1E"/>
    <w:rsid w:val="001B6011"/>
    <w:rsid w:val="001B60F2"/>
    <w:rsid w:val="001B629F"/>
    <w:rsid w:val="001B6492"/>
    <w:rsid w:val="001B7339"/>
    <w:rsid w:val="001B7F2F"/>
    <w:rsid w:val="001C2075"/>
    <w:rsid w:val="001C23F2"/>
    <w:rsid w:val="001C37A3"/>
    <w:rsid w:val="001C3B02"/>
    <w:rsid w:val="001C5977"/>
    <w:rsid w:val="001D01D4"/>
    <w:rsid w:val="001D0866"/>
    <w:rsid w:val="001D0DBD"/>
    <w:rsid w:val="001D0E59"/>
    <w:rsid w:val="001D0F2D"/>
    <w:rsid w:val="001D1BEA"/>
    <w:rsid w:val="001D1CDF"/>
    <w:rsid w:val="001D2675"/>
    <w:rsid w:val="001D2D5D"/>
    <w:rsid w:val="001D43B0"/>
    <w:rsid w:val="001D516F"/>
    <w:rsid w:val="001D550D"/>
    <w:rsid w:val="001D5BF9"/>
    <w:rsid w:val="001D6168"/>
    <w:rsid w:val="001D6428"/>
    <w:rsid w:val="001D6DC5"/>
    <w:rsid w:val="001E00E8"/>
    <w:rsid w:val="001E1909"/>
    <w:rsid w:val="001E1D3D"/>
    <w:rsid w:val="001E2B34"/>
    <w:rsid w:val="001E442D"/>
    <w:rsid w:val="001E4D64"/>
    <w:rsid w:val="001E63FD"/>
    <w:rsid w:val="001E7793"/>
    <w:rsid w:val="001E7D6D"/>
    <w:rsid w:val="001F1F84"/>
    <w:rsid w:val="001F249F"/>
    <w:rsid w:val="001F29C9"/>
    <w:rsid w:val="001F2E50"/>
    <w:rsid w:val="001F3AFD"/>
    <w:rsid w:val="001F3C9C"/>
    <w:rsid w:val="001F43F5"/>
    <w:rsid w:val="001F681B"/>
    <w:rsid w:val="001F6D9C"/>
    <w:rsid w:val="001F6E1D"/>
    <w:rsid w:val="00200DF2"/>
    <w:rsid w:val="00200E43"/>
    <w:rsid w:val="00201EEA"/>
    <w:rsid w:val="00203BAB"/>
    <w:rsid w:val="002050AC"/>
    <w:rsid w:val="00206173"/>
    <w:rsid w:val="00207185"/>
    <w:rsid w:val="002071DC"/>
    <w:rsid w:val="00207BA1"/>
    <w:rsid w:val="00210510"/>
    <w:rsid w:val="00210F07"/>
    <w:rsid w:val="002118A0"/>
    <w:rsid w:val="00212CE8"/>
    <w:rsid w:val="00212D60"/>
    <w:rsid w:val="00212F40"/>
    <w:rsid w:val="00214F19"/>
    <w:rsid w:val="002169D3"/>
    <w:rsid w:val="0021748B"/>
    <w:rsid w:val="002211A2"/>
    <w:rsid w:val="00222330"/>
    <w:rsid w:val="00222C5C"/>
    <w:rsid w:val="00222D4C"/>
    <w:rsid w:val="00223671"/>
    <w:rsid w:val="00224916"/>
    <w:rsid w:val="0022617A"/>
    <w:rsid w:val="00226374"/>
    <w:rsid w:val="00227480"/>
    <w:rsid w:val="00230E5F"/>
    <w:rsid w:val="00232C4A"/>
    <w:rsid w:val="002336B7"/>
    <w:rsid w:val="002348A6"/>
    <w:rsid w:val="00234C75"/>
    <w:rsid w:val="00235B41"/>
    <w:rsid w:val="00235D09"/>
    <w:rsid w:val="002369B8"/>
    <w:rsid w:val="00237231"/>
    <w:rsid w:val="00240703"/>
    <w:rsid w:val="00240A0F"/>
    <w:rsid w:val="00240EFF"/>
    <w:rsid w:val="002416A9"/>
    <w:rsid w:val="002419B0"/>
    <w:rsid w:val="00241A10"/>
    <w:rsid w:val="00241B98"/>
    <w:rsid w:val="00242306"/>
    <w:rsid w:val="00244D88"/>
    <w:rsid w:val="002460B9"/>
    <w:rsid w:val="00247AF1"/>
    <w:rsid w:val="00250CF9"/>
    <w:rsid w:val="00250F70"/>
    <w:rsid w:val="002513AC"/>
    <w:rsid w:val="00251FB5"/>
    <w:rsid w:val="00252759"/>
    <w:rsid w:val="00252A54"/>
    <w:rsid w:val="002536A5"/>
    <w:rsid w:val="002540F8"/>
    <w:rsid w:val="00254F93"/>
    <w:rsid w:val="002552AB"/>
    <w:rsid w:val="00255E19"/>
    <w:rsid w:val="00256D8A"/>
    <w:rsid w:val="00260F52"/>
    <w:rsid w:val="00261ACA"/>
    <w:rsid w:val="00262AFC"/>
    <w:rsid w:val="00263CC1"/>
    <w:rsid w:val="00264404"/>
    <w:rsid w:val="00264FA7"/>
    <w:rsid w:val="00264FE6"/>
    <w:rsid w:val="00265469"/>
    <w:rsid w:val="00265D56"/>
    <w:rsid w:val="00270A49"/>
    <w:rsid w:val="00270F54"/>
    <w:rsid w:val="00271040"/>
    <w:rsid w:val="00271A9B"/>
    <w:rsid w:val="00272F14"/>
    <w:rsid w:val="00273437"/>
    <w:rsid w:val="002734AA"/>
    <w:rsid w:val="00273B32"/>
    <w:rsid w:val="0027411F"/>
    <w:rsid w:val="0027428C"/>
    <w:rsid w:val="002761F3"/>
    <w:rsid w:val="00276B77"/>
    <w:rsid w:val="002804D6"/>
    <w:rsid w:val="0028260A"/>
    <w:rsid w:val="002828BB"/>
    <w:rsid w:val="0028361C"/>
    <w:rsid w:val="00283D49"/>
    <w:rsid w:val="002840CF"/>
    <w:rsid w:val="002841E9"/>
    <w:rsid w:val="0028436D"/>
    <w:rsid w:val="002856CD"/>
    <w:rsid w:val="00285ECB"/>
    <w:rsid w:val="002878F2"/>
    <w:rsid w:val="00287DD6"/>
    <w:rsid w:val="00290F13"/>
    <w:rsid w:val="00291337"/>
    <w:rsid w:val="0029159F"/>
    <w:rsid w:val="0029209E"/>
    <w:rsid w:val="002922E3"/>
    <w:rsid w:val="002922FA"/>
    <w:rsid w:val="002927D4"/>
    <w:rsid w:val="002937D4"/>
    <w:rsid w:val="00293CEE"/>
    <w:rsid w:val="002943D9"/>
    <w:rsid w:val="00294F7C"/>
    <w:rsid w:val="002960EE"/>
    <w:rsid w:val="00296EA6"/>
    <w:rsid w:val="00297BDD"/>
    <w:rsid w:val="002A1C79"/>
    <w:rsid w:val="002A23B5"/>
    <w:rsid w:val="002A2620"/>
    <w:rsid w:val="002A2DB3"/>
    <w:rsid w:val="002A311E"/>
    <w:rsid w:val="002A32B6"/>
    <w:rsid w:val="002A380A"/>
    <w:rsid w:val="002A3D42"/>
    <w:rsid w:val="002A4C52"/>
    <w:rsid w:val="002A54E1"/>
    <w:rsid w:val="002A65A9"/>
    <w:rsid w:val="002A734B"/>
    <w:rsid w:val="002A755F"/>
    <w:rsid w:val="002B0942"/>
    <w:rsid w:val="002B1D1D"/>
    <w:rsid w:val="002B2F2C"/>
    <w:rsid w:val="002B33E2"/>
    <w:rsid w:val="002B3636"/>
    <w:rsid w:val="002B433B"/>
    <w:rsid w:val="002B5C94"/>
    <w:rsid w:val="002B60A1"/>
    <w:rsid w:val="002B7A73"/>
    <w:rsid w:val="002C0023"/>
    <w:rsid w:val="002C06E7"/>
    <w:rsid w:val="002C38E7"/>
    <w:rsid w:val="002C398B"/>
    <w:rsid w:val="002C3A07"/>
    <w:rsid w:val="002C3CB1"/>
    <w:rsid w:val="002C4E0D"/>
    <w:rsid w:val="002C4F5A"/>
    <w:rsid w:val="002C5F02"/>
    <w:rsid w:val="002C6615"/>
    <w:rsid w:val="002C6F4E"/>
    <w:rsid w:val="002C769D"/>
    <w:rsid w:val="002C7914"/>
    <w:rsid w:val="002C7C1B"/>
    <w:rsid w:val="002D18E0"/>
    <w:rsid w:val="002D1DF7"/>
    <w:rsid w:val="002D32A4"/>
    <w:rsid w:val="002D3A51"/>
    <w:rsid w:val="002D3E67"/>
    <w:rsid w:val="002D599F"/>
    <w:rsid w:val="002D5E2F"/>
    <w:rsid w:val="002D7973"/>
    <w:rsid w:val="002E1D13"/>
    <w:rsid w:val="002E1D6E"/>
    <w:rsid w:val="002E1FE6"/>
    <w:rsid w:val="002E2B75"/>
    <w:rsid w:val="002E33EA"/>
    <w:rsid w:val="002E495A"/>
    <w:rsid w:val="002E4A89"/>
    <w:rsid w:val="002E6315"/>
    <w:rsid w:val="002E665B"/>
    <w:rsid w:val="002E7B9E"/>
    <w:rsid w:val="002F1635"/>
    <w:rsid w:val="002F185A"/>
    <w:rsid w:val="002F2278"/>
    <w:rsid w:val="002F58B9"/>
    <w:rsid w:val="002F631B"/>
    <w:rsid w:val="002F73B2"/>
    <w:rsid w:val="00300843"/>
    <w:rsid w:val="00300BAB"/>
    <w:rsid w:val="00301DA1"/>
    <w:rsid w:val="0030476C"/>
    <w:rsid w:val="003050E0"/>
    <w:rsid w:val="0030571F"/>
    <w:rsid w:val="0031146C"/>
    <w:rsid w:val="0031180C"/>
    <w:rsid w:val="00311BFC"/>
    <w:rsid w:val="00312ED8"/>
    <w:rsid w:val="00313680"/>
    <w:rsid w:val="00313864"/>
    <w:rsid w:val="00313D5E"/>
    <w:rsid w:val="003142DD"/>
    <w:rsid w:val="0031445F"/>
    <w:rsid w:val="00314613"/>
    <w:rsid w:val="00315F75"/>
    <w:rsid w:val="0031644C"/>
    <w:rsid w:val="00316B1E"/>
    <w:rsid w:val="00317432"/>
    <w:rsid w:val="00320690"/>
    <w:rsid w:val="0032159A"/>
    <w:rsid w:val="00323083"/>
    <w:rsid w:val="00323B0C"/>
    <w:rsid w:val="00323B9A"/>
    <w:rsid w:val="00323F61"/>
    <w:rsid w:val="00324192"/>
    <w:rsid w:val="00324B55"/>
    <w:rsid w:val="00325647"/>
    <w:rsid w:val="003260EE"/>
    <w:rsid w:val="00326428"/>
    <w:rsid w:val="00326ECB"/>
    <w:rsid w:val="003278A4"/>
    <w:rsid w:val="00327C92"/>
    <w:rsid w:val="003305C8"/>
    <w:rsid w:val="00330FDE"/>
    <w:rsid w:val="00331BB0"/>
    <w:rsid w:val="00332515"/>
    <w:rsid w:val="00332DCA"/>
    <w:rsid w:val="003359C5"/>
    <w:rsid w:val="00340BEE"/>
    <w:rsid w:val="00341CBC"/>
    <w:rsid w:val="003423C0"/>
    <w:rsid w:val="00343E36"/>
    <w:rsid w:val="0034430E"/>
    <w:rsid w:val="00350613"/>
    <w:rsid w:val="003506E6"/>
    <w:rsid w:val="003507AD"/>
    <w:rsid w:val="00350CC7"/>
    <w:rsid w:val="00350D79"/>
    <w:rsid w:val="00350E67"/>
    <w:rsid w:val="00352749"/>
    <w:rsid w:val="00354669"/>
    <w:rsid w:val="003556B3"/>
    <w:rsid w:val="00355814"/>
    <w:rsid w:val="00355A59"/>
    <w:rsid w:val="00355F21"/>
    <w:rsid w:val="003609F6"/>
    <w:rsid w:val="0036273E"/>
    <w:rsid w:val="003628CE"/>
    <w:rsid w:val="00362A5B"/>
    <w:rsid w:val="0036344E"/>
    <w:rsid w:val="0036353B"/>
    <w:rsid w:val="00363FBE"/>
    <w:rsid w:val="00364902"/>
    <w:rsid w:val="00365462"/>
    <w:rsid w:val="003657F1"/>
    <w:rsid w:val="003659B8"/>
    <w:rsid w:val="00365A62"/>
    <w:rsid w:val="00366470"/>
    <w:rsid w:val="003667A6"/>
    <w:rsid w:val="00367F19"/>
    <w:rsid w:val="00370BF8"/>
    <w:rsid w:val="00371A33"/>
    <w:rsid w:val="00374A93"/>
    <w:rsid w:val="00374B8D"/>
    <w:rsid w:val="00375D1A"/>
    <w:rsid w:val="00376C71"/>
    <w:rsid w:val="00377A70"/>
    <w:rsid w:val="00377B58"/>
    <w:rsid w:val="00380AD8"/>
    <w:rsid w:val="00380B5F"/>
    <w:rsid w:val="00381A92"/>
    <w:rsid w:val="00381DC2"/>
    <w:rsid w:val="0038213F"/>
    <w:rsid w:val="00382C56"/>
    <w:rsid w:val="00382D8F"/>
    <w:rsid w:val="00383102"/>
    <w:rsid w:val="00383723"/>
    <w:rsid w:val="00384A29"/>
    <w:rsid w:val="0038574A"/>
    <w:rsid w:val="00386994"/>
    <w:rsid w:val="0039040C"/>
    <w:rsid w:val="0039047A"/>
    <w:rsid w:val="003915D0"/>
    <w:rsid w:val="003943F9"/>
    <w:rsid w:val="00394534"/>
    <w:rsid w:val="00394B8A"/>
    <w:rsid w:val="00395E9F"/>
    <w:rsid w:val="003A015C"/>
    <w:rsid w:val="003A1D45"/>
    <w:rsid w:val="003A2CBB"/>
    <w:rsid w:val="003A2ECB"/>
    <w:rsid w:val="003A42D3"/>
    <w:rsid w:val="003A4528"/>
    <w:rsid w:val="003A4546"/>
    <w:rsid w:val="003A5955"/>
    <w:rsid w:val="003A67EB"/>
    <w:rsid w:val="003A7A45"/>
    <w:rsid w:val="003B0160"/>
    <w:rsid w:val="003B0CE1"/>
    <w:rsid w:val="003B0F9C"/>
    <w:rsid w:val="003B1EF1"/>
    <w:rsid w:val="003B2B5B"/>
    <w:rsid w:val="003B4B4F"/>
    <w:rsid w:val="003B78C2"/>
    <w:rsid w:val="003C066A"/>
    <w:rsid w:val="003C2744"/>
    <w:rsid w:val="003C37C3"/>
    <w:rsid w:val="003C4AC5"/>
    <w:rsid w:val="003C5696"/>
    <w:rsid w:val="003C571C"/>
    <w:rsid w:val="003C6FA3"/>
    <w:rsid w:val="003D09DE"/>
    <w:rsid w:val="003D0D31"/>
    <w:rsid w:val="003D0DEA"/>
    <w:rsid w:val="003D3D07"/>
    <w:rsid w:val="003D3E8E"/>
    <w:rsid w:val="003D3EC2"/>
    <w:rsid w:val="003D4255"/>
    <w:rsid w:val="003D43FC"/>
    <w:rsid w:val="003D62D3"/>
    <w:rsid w:val="003D6900"/>
    <w:rsid w:val="003D6B71"/>
    <w:rsid w:val="003D730D"/>
    <w:rsid w:val="003D741C"/>
    <w:rsid w:val="003D74E4"/>
    <w:rsid w:val="003D75F5"/>
    <w:rsid w:val="003D793A"/>
    <w:rsid w:val="003D7C44"/>
    <w:rsid w:val="003D7DF4"/>
    <w:rsid w:val="003E16EF"/>
    <w:rsid w:val="003E1F76"/>
    <w:rsid w:val="003E33DE"/>
    <w:rsid w:val="003E412A"/>
    <w:rsid w:val="003E4756"/>
    <w:rsid w:val="003E5402"/>
    <w:rsid w:val="003E6C0F"/>
    <w:rsid w:val="003E7124"/>
    <w:rsid w:val="003E7B47"/>
    <w:rsid w:val="003F2E7E"/>
    <w:rsid w:val="003F4C1F"/>
    <w:rsid w:val="003F6D74"/>
    <w:rsid w:val="003F722A"/>
    <w:rsid w:val="003F788A"/>
    <w:rsid w:val="003F79DF"/>
    <w:rsid w:val="00400B0C"/>
    <w:rsid w:val="00401C6C"/>
    <w:rsid w:val="0040396A"/>
    <w:rsid w:val="0040418F"/>
    <w:rsid w:val="0040421B"/>
    <w:rsid w:val="0040439E"/>
    <w:rsid w:val="004053FD"/>
    <w:rsid w:val="00406A86"/>
    <w:rsid w:val="00407617"/>
    <w:rsid w:val="0040776B"/>
    <w:rsid w:val="004107E4"/>
    <w:rsid w:val="00410AFC"/>
    <w:rsid w:val="004118D2"/>
    <w:rsid w:val="00412321"/>
    <w:rsid w:val="00412BDF"/>
    <w:rsid w:val="0041446D"/>
    <w:rsid w:val="00416802"/>
    <w:rsid w:val="0041688B"/>
    <w:rsid w:val="004179A6"/>
    <w:rsid w:val="004212DB"/>
    <w:rsid w:val="00421998"/>
    <w:rsid w:val="00423733"/>
    <w:rsid w:val="00424852"/>
    <w:rsid w:val="00425997"/>
    <w:rsid w:val="004263EC"/>
    <w:rsid w:val="00426F84"/>
    <w:rsid w:val="004278EA"/>
    <w:rsid w:val="004279A8"/>
    <w:rsid w:val="00431308"/>
    <w:rsid w:val="00431932"/>
    <w:rsid w:val="004321DE"/>
    <w:rsid w:val="00432339"/>
    <w:rsid w:val="00433253"/>
    <w:rsid w:val="004342B4"/>
    <w:rsid w:val="004350FA"/>
    <w:rsid w:val="00436D30"/>
    <w:rsid w:val="00436D89"/>
    <w:rsid w:val="00437E5F"/>
    <w:rsid w:val="004414E9"/>
    <w:rsid w:val="00442EC2"/>
    <w:rsid w:val="004438B5"/>
    <w:rsid w:val="004439BF"/>
    <w:rsid w:val="00443B21"/>
    <w:rsid w:val="00444193"/>
    <w:rsid w:val="00447F91"/>
    <w:rsid w:val="00450035"/>
    <w:rsid w:val="0045045D"/>
    <w:rsid w:val="00451A79"/>
    <w:rsid w:val="004526D9"/>
    <w:rsid w:val="004551FB"/>
    <w:rsid w:val="00455427"/>
    <w:rsid w:val="00456514"/>
    <w:rsid w:val="00456A9D"/>
    <w:rsid w:val="00457FA9"/>
    <w:rsid w:val="00460761"/>
    <w:rsid w:val="004607CA"/>
    <w:rsid w:val="00461C81"/>
    <w:rsid w:val="0046302B"/>
    <w:rsid w:val="004634D6"/>
    <w:rsid w:val="00464040"/>
    <w:rsid w:val="004661FD"/>
    <w:rsid w:val="00466AC8"/>
    <w:rsid w:val="00466E16"/>
    <w:rsid w:val="004671E4"/>
    <w:rsid w:val="00467BBC"/>
    <w:rsid w:val="0047013F"/>
    <w:rsid w:val="00470B27"/>
    <w:rsid w:val="00470D03"/>
    <w:rsid w:val="0047169C"/>
    <w:rsid w:val="00471C44"/>
    <w:rsid w:val="004721EF"/>
    <w:rsid w:val="004734C7"/>
    <w:rsid w:val="004747A9"/>
    <w:rsid w:val="00474A82"/>
    <w:rsid w:val="0047643C"/>
    <w:rsid w:val="004774F1"/>
    <w:rsid w:val="00477CB4"/>
    <w:rsid w:val="00480F38"/>
    <w:rsid w:val="00480FE9"/>
    <w:rsid w:val="00483068"/>
    <w:rsid w:val="00483289"/>
    <w:rsid w:val="00484278"/>
    <w:rsid w:val="00484795"/>
    <w:rsid w:val="0048565D"/>
    <w:rsid w:val="00485D24"/>
    <w:rsid w:val="00490711"/>
    <w:rsid w:val="00490992"/>
    <w:rsid w:val="004917F1"/>
    <w:rsid w:val="004928E7"/>
    <w:rsid w:val="00492A50"/>
    <w:rsid w:val="00493E0B"/>
    <w:rsid w:val="004964FD"/>
    <w:rsid w:val="0049666C"/>
    <w:rsid w:val="00496C6C"/>
    <w:rsid w:val="00496F09"/>
    <w:rsid w:val="00496F31"/>
    <w:rsid w:val="00497619"/>
    <w:rsid w:val="004A110E"/>
    <w:rsid w:val="004A2E39"/>
    <w:rsid w:val="004A4024"/>
    <w:rsid w:val="004A4C02"/>
    <w:rsid w:val="004B0834"/>
    <w:rsid w:val="004B0A11"/>
    <w:rsid w:val="004B0F8F"/>
    <w:rsid w:val="004B4077"/>
    <w:rsid w:val="004B5D90"/>
    <w:rsid w:val="004B624B"/>
    <w:rsid w:val="004B6A40"/>
    <w:rsid w:val="004B7336"/>
    <w:rsid w:val="004C0491"/>
    <w:rsid w:val="004C202C"/>
    <w:rsid w:val="004C2E4B"/>
    <w:rsid w:val="004C5851"/>
    <w:rsid w:val="004C6721"/>
    <w:rsid w:val="004C6E6C"/>
    <w:rsid w:val="004C796A"/>
    <w:rsid w:val="004D2988"/>
    <w:rsid w:val="004D3B43"/>
    <w:rsid w:val="004D466B"/>
    <w:rsid w:val="004D4D36"/>
    <w:rsid w:val="004D5107"/>
    <w:rsid w:val="004D598F"/>
    <w:rsid w:val="004D626A"/>
    <w:rsid w:val="004D655F"/>
    <w:rsid w:val="004E063D"/>
    <w:rsid w:val="004E1966"/>
    <w:rsid w:val="004E2AF1"/>
    <w:rsid w:val="004E2C0E"/>
    <w:rsid w:val="004E3B37"/>
    <w:rsid w:val="004E5A69"/>
    <w:rsid w:val="004E6020"/>
    <w:rsid w:val="004E706B"/>
    <w:rsid w:val="004E741E"/>
    <w:rsid w:val="004E7AA8"/>
    <w:rsid w:val="004F224A"/>
    <w:rsid w:val="004F3459"/>
    <w:rsid w:val="004F415D"/>
    <w:rsid w:val="004F5A82"/>
    <w:rsid w:val="004F770C"/>
    <w:rsid w:val="00500269"/>
    <w:rsid w:val="005004C1"/>
    <w:rsid w:val="00501C2C"/>
    <w:rsid w:val="00501E65"/>
    <w:rsid w:val="0050291D"/>
    <w:rsid w:val="00502AA1"/>
    <w:rsid w:val="00504314"/>
    <w:rsid w:val="00504789"/>
    <w:rsid w:val="0050536B"/>
    <w:rsid w:val="005078E9"/>
    <w:rsid w:val="00507C9E"/>
    <w:rsid w:val="005100DA"/>
    <w:rsid w:val="005110CB"/>
    <w:rsid w:val="005112C1"/>
    <w:rsid w:val="0051172F"/>
    <w:rsid w:val="00511A12"/>
    <w:rsid w:val="0051204B"/>
    <w:rsid w:val="00512ACD"/>
    <w:rsid w:val="00513851"/>
    <w:rsid w:val="00513E79"/>
    <w:rsid w:val="0051436C"/>
    <w:rsid w:val="00516395"/>
    <w:rsid w:val="005166B5"/>
    <w:rsid w:val="00516AF0"/>
    <w:rsid w:val="00517521"/>
    <w:rsid w:val="00517668"/>
    <w:rsid w:val="0052093C"/>
    <w:rsid w:val="005212DA"/>
    <w:rsid w:val="0052135C"/>
    <w:rsid w:val="00521C57"/>
    <w:rsid w:val="00522515"/>
    <w:rsid w:val="0052331E"/>
    <w:rsid w:val="00523D51"/>
    <w:rsid w:val="005245D4"/>
    <w:rsid w:val="005250D4"/>
    <w:rsid w:val="0052570A"/>
    <w:rsid w:val="00525CC3"/>
    <w:rsid w:val="00526268"/>
    <w:rsid w:val="0052710E"/>
    <w:rsid w:val="0052726C"/>
    <w:rsid w:val="00530101"/>
    <w:rsid w:val="00531552"/>
    <w:rsid w:val="00531919"/>
    <w:rsid w:val="00532C68"/>
    <w:rsid w:val="00532D18"/>
    <w:rsid w:val="0053489D"/>
    <w:rsid w:val="00534ACC"/>
    <w:rsid w:val="00536C4B"/>
    <w:rsid w:val="005377E9"/>
    <w:rsid w:val="00541056"/>
    <w:rsid w:val="00541D1C"/>
    <w:rsid w:val="00542113"/>
    <w:rsid w:val="005456BF"/>
    <w:rsid w:val="005458AA"/>
    <w:rsid w:val="00546179"/>
    <w:rsid w:val="00546611"/>
    <w:rsid w:val="005479CB"/>
    <w:rsid w:val="00547D67"/>
    <w:rsid w:val="005502A0"/>
    <w:rsid w:val="00551613"/>
    <w:rsid w:val="00552090"/>
    <w:rsid w:val="005531F3"/>
    <w:rsid w:val="00554361"/>
    <w:rsid w:val="00555B03"/>
    <w:rsid w:val="00555F4F"/>
    <w:rsid w:val="00556439"/>
    <w:rsid w:val="005568B4"/>
    <w:rsid w:val="00560B89"/>
    <w:rsid w:val="00561780"/>
    <w:rsid w:val="00562B76"/>
    <w:rsid w:val="005630C6"/>
    <w:rsid w:val="00563196"/>
    <w:rsid w:val="005633B3"/>
    <w:rsid w:val="00563D1E"/>
    <w:rsid w:val="00566F68"/>
    <w:rsid w:val="005671AA"/>
    <w:rsid w:val="00570180"/>
    <w:rsid w:val="00572522"/>
    <w:rsid w:val="0057313D"/>
    <w:rsid w:val="00573F63"/>
    <w:rsid w:val="00574D5F"/>
    <w:rsid w:val="00574E16"/>
    <w:rsid w:val="00576106"/>
    <w:rsid w:val="0057780E"/>
    <w:rsid w:val="00581131"/>
    <w:rsid w:val="00582175"/>
    <w:rsid w:val="005842D5"/>
    <w:rsid w:val="0058488F"/>
    <w:rsid w:val="005856BC"/>
    <w:rsid w:val="00586F22"/>
    <w:rsid w:val="0058716D"/>
    <w:rsid w:val="005878FB"/>
    <w:rsid w:val="00590131"/>
    <w:rsid w:val="00590434"/>
    <w:rsid w:val="00591210"/>
    <w:rsid w:val="005915DD"/>
    <w:rsid w:val="00592D44"/>
    <w:rsid w:val="0059328E"/>
    <w:rsid w:val="00593375"/>
    <w:rsid w:val="00593C3F"/>
    <w:rsid w:val="00595C70"/>
    <w:rsid w:val="005A11D1"/>
    <w:rsid w:val="005A1835"/>
    <w:rsid w:val="005A371C"/>
    <w:rsid w:val="005A4052"/>
    <w:rsid w:val="005A530F"/>
    <w:rsid w:val="005A5901"/>
    <w:rsid w:val="005A5EA3"/>
    <w:rsid w:val="005A6EB5"/>
    <w:rsid w:val="005B221A"/>
    <w:rsid w:val="005B2374"/>
    <w:rsid w:val="005B3298"/>
    <w:rsid w:val="005B35A7"/>
    <w:rsid w:val="005B3B57"/>
    <w:rsid w:val="005B4890"/>
    <w:rsid w:val="005B67D9"/>
    <w:rsid w:val="005B7191"/>
    <w:rsid w:val="005B7FE5"/>
    <w:rsid w:val="005C0FA1"/>
    <w:rsid w:val="005C1B0C"/>
    <w:rsid w:val="005C3DAB"/>
    <w:rsid w:val="005C41E3"/>
    <w:rsid w:val="005C4C46"/>
    <w:rsid w:val="005C5E68"/>
    <w:rsid w:val="005C7B86"/>
    <w:rsid w:val="005C7C75"/>
    <w:rsid w:val="005C7F67"/>
    <w:rsid w:val="005D011D"/>
    <w:rsid w:val="005D2A5D"/>
    <w:rsid w:val="005D51DF"/>
    <w:rsid w:val="005D706E"/>
    <w:rsid w:val="005D7D3D"/>
    <w:rsid w:val="005E0DEA"/>
    <w:rsid w:val="005E3019"/>
    <w:rsid w:val="005E3DFF"/>
    <w:rsid w:val="005E4956"/>
    <w:rsid w:val="005E60A1"/>
    <w:rsid w:val="005E60F9"/>
    <w:rsid w:val="005E69B9"/>
    <w:rsid w:val="005E7215"/>
    <w:rsid w:val="005F035C"/>
    <w:rsid w:val="005F035D"/>
    <w:rsid w:val="005F0F3B"/>
    <w:rsid w:val="005F16D1"/>
    <w:rsid w:val="005F1CAC"/>
    <w:rsid w:val="005F2743"/>
    <w:rsid w:val="005F2EC1"/>
    <w:rsid w:val="005F3388"/>
    <w:rsid w:val="005F3FB4"/>
    <w:rsid w:val="005F5193"/>
    <w:rsid w:val="005F5F82"/>
    <w:rsid w:val="006000D1"/>
    <w:rsid w:val="00600785"/>
    <w:rsid w:val="006011C5"/>
    <w:rsid w:val="0060432C"/>
    <w:rsid w:val="00605E6E"/>
    <w:rsid w:val="006065B5"/>
    <w:rsid w:val="00607BB4"/>
    <w:rsid w:val="00607BFC"/>
    <w:rsid w:val="00610975"/>
    <w:rsid w:val="006125FA"/>
    <w:rsid w:val="0061367C"/>
    <w:rsid w:val="0061416D"/>
    <w:rsid w:val="00614311"/>
    <w:rsid w:val="006153F8"/>
    <w:rsid w:val="00615684"/>
    <w:rsid w:val="00616AD4"/>
    <w:rsid w:val="00616BDB"/>
    <w:rsid w:val="00616EAB"/>
    <w:rsid w:val="00617559"/>
    <w:rsid w:val="00620A38"/>
    <w:rsid w:val="0062125E"/>
    <w:rsid w:val="006217E6"/>
    <w:rsid w:val="006226ED"/>
    <w:rsid w:val="00622A7B"/>
    <w:rsid w:val="00623369"/>
    <w:rsid w:val="006252C2"/>
    <w:rsid w:val="0062708D"/>
    <w:rsid w:val="00631ECE"/>
    <w:rsid w:val="00633774"/>
    <w:rsid w:val="00635085"/>
    <w:rsid w:val="006405DA"/>
    <w:rsid w:val="00640745"/>
    <w:rsid w:val="00641B3C"/>
    <w:rsid w:val="00641FF1"/>
    <w:rsid w:val="00642246"/>
    <w:rsid w:val="006425AC"/>
    <w:rsid w:val="00643282"/>
    <w:rsid w:val="0064396B"/>
    <w:rsid w:val="0064451B"/>
    <w:rsid w:val="006452F9"/>
    <w:rsid w:val="006459DF"/>
    <w:rsid w:val="006462D8"/>
    <w:rsid w:val="006503D9"/>
    <w:rsid w:val="00650BE3"/>
    <w:rsid w:val="00651DB0"/>
    <w:rsid w:val="0065439C"/>
    <w:rsid w:val="00655700"/>
    <w:rsid w:val="00657CBA"/>
    <w:rsid w:val="006618CB"/>
    <w:rsid w:val="00662084"/>
    <w:rsid w:val="006628AE"/>
    <w:rsid w:val="00663401"/>
    <w:rsid w:val="00665706"/>
    <w:rsid w:val="00665900"/>
    <w:rsid w:val="00667569"/>
    <w:rsid w:val="006702B3"/>
    <w:rsid w:val="0067094D"/>
    <w:rsid w:val="00672A98"/>
    <w:rsid w:val="00674492"/>
    <w:rsid w:val="0067467A"/>
    <w:rsid w:val="0067487B"/>
    <w:rsid w:val="00674D8D"/>
    <w:rsid w:val="0067512F"/>
    <w:rsid w:val="00675EB5"/>
    <w:rsid w:val="00677589"/>
    <w:rsid w:val="006835FA"/>
    <w:rsid w:val="0068566A"/>
    <w:rsid w:val="00685AE6"/>
    <w:rsid w:val="006866DB"/>
    <w:rsid w:val="00686A4F"/>
    <w:rsid w:val="0068710F"/>
    <w:rsid w:val="006877CE"/>
    <w:rsid w:val="00687953"/>
    <w:rsid w:val="006879F4"/>
    <w:rsid w:val="00687DBE"/>
    <w:rsid w:val="00691CBD"/>
    <w:rsid w:val="00692088"/>
    <w:rsid w:val="00692711"/>
    <w:rsid w:val="00692A58"/>
    <w:rsid w:val="00692BDC"/>
    <w:rsid w:val="006934A0"/>
    <w:rsid w:val="0069599C"/>
    <w:rsid w:val="00695CE9"/>
    <w:rsid w:val="00696027"/>
    <w:rsid w:val="00696236"/>
    <w:rsid w:val="006964E2"/>
    <w:rsid w:val="006967CF"/>
    <w:rsid w:val="00696C0E"/>
    <w:rsid w:val="00696ED5"/>
    <w:rsid w:val="00697C38"/>
    <w:rsid w:val="006A01AA"/>
    <w:rsid w:val="006A0201"/>
    <w:rsid w:val="006A0C5B"/>
    <w:rsid w:val="006A1309"/>
    <w:rsid w:val="006A1BC6"/>
    <w:rsid w:val="006A2737"/>
    <w:rsid w:val="006A276B"/>
    <w:rsid w:val="006A3AFD"/>
    <w:rsid w:val="006A49AD"/>
    <w:rsid w:val="006A4AF6"/>
    <w:rsid w:val="006A505E"/>
    <w:rsid w:val="006A5AA5"/>
    <w:rsid w:val="006A5E26"/>
    <w:rsid w:val="006A7675"/>
    <w:rsid w:val="006A7990"/>
    <w:rsid w:val="006B2FA9"/>
    <w:rsid w:val="006B404F"/>
    <w:rsid w:val="006B4341"/>
    <w:rsid w:val="006B45DF"/>
    <w:rsid w:val="006B48BC"/>
    <w:rsid w:val="006B4914"/>
    <w:rsid w:val="006B7C35"/>
    <w:rsid w:val="006C08AA"/>
    <w:rsid w:val="006C10FF"/>
    <w:rsid w:val="006C3240"/>
    <w:rsid w:val="006C33CA"/>
    <w:rsid w:val="006C3527"/>
    <w:rsid w:val="006C3CAE"/>
    <w:rsid w:val="006C42E8"/>
    <w:rsid w:val="006C535D"/>
    <w:rsid w:val="006C5A1E"/>
    <w:rsid w:val="006C5EBC"/>
    <w:rsid w:val="006D0D28"/>
    <w:rsid w:val="006D2F59"/>
    <w:rsid w:val="006D35A1"/>
    <w:rsid w:val="006D39C8"/>
    <w:rsid w:val="006D4129"/>
    <w:rsid w:val="006D4312"/>
    <w:rsid w:val="006D50AE"/>
    <w:rsid w:val="006D57D2"/>
    <w:rsid w:val="006D5D42"/>
    <w:rsid w:val="006D6433"/>
    <w:rsid w:val="006D6C45"/>
    <w:rsid w:val="006D6DF7"/>
    <w:rsid w:val="006D731A"/>
    <w:rsid w:val="006D7B70"/>
    <w:rsid w:val="006D7CA5"/>
    <w:rsid w:val="006D7EA2"/>
    <w:rsid w:val="006E1CCD"/>
    <w:rsid w:val="006E1CFF"/>
    <w:rsid w:val="006E2552"/>
    <w:rsid w:val="006E2C3B"/>
    <w:rsid w:val="006E3C16"/>
    <w:rsid w:val="006E5D61"/>
    <w:rsid w:val="006E68B8"/>
    <w:rsid w:val="006E6E1C"/>
    <w:rsid w:val="006E79C8"/>
    <w:rsid w:val="006E7B69"/>
    <w:rsid w:val="006F050D"/>
    <w:rsid w:val="006F1071"/>
    <w:rsid w:val="006F393B"/>
    <w:rsid w:val="006F3FCF"/>
    <w:rsid w:val="006F41E9"/>
    <w:rsid w:val="006F4666"/>
    <w:rsid w:val="006F55C7"/>
    <w:rsid w:val="006F5706"/>
    <w:rsid w:val="006F755C"/>
    <w:rsid w:val="0070283E"/>
    <w:rsid w:val="00703CE0"/>
    <w:rsid w:val="00704B2E"/>
    <w:rsid w:val="007074A2"/>
    <w:rsid w:val="00707849"/>
    <w:rsid w:val="00715B99"/>
    <w:rsid w:val="00715C17"/>
    <w:rsid w:val="00715EB1"/>
    <w:rsid w:val="007161C0"/>
    <w:rsid w:val="00716CD2"/>
    <w:rsid w:val="00717F67"/>
    <w:rsid w:val="00721527"/>
    <w:rsid w:val="00722329"/>
    <w:rsid w:val="00722691"/>
    <w:rsid w:val="00723A9E"/>
    <w:rsid w:val="00724843"/>
    <w:rsid w:val="00724AE9"/>
    <w:rsid w:val="00724E8B"/>
    <w:rsid w:val="007257D9"/>
    <w:rsid w:val="0072602A"/>
    <w:rsid w:val="007266EE"/>
    <w:rsid w:val="00732F37"/>
    <w:rsid w:val="00733DFA"/>
    <w:rsid w:val="00733E6B"/>
    <w:rsid w:val="00733F11"/>
    <w:rsid w:val="00736267"/>
    <w:rsid w:val="00736AF6"/>
    <w:rsid w:val="00736C11"/>
    <w:rsid w:val="00737FC4"/>
    <w:rsid w:val="00742DC8"/>
    <w:rsid w:val="00743403"/>
    <w:rsid w:val="00743908"/>
    <w:rsid w:val="007456C8"/>
    <w:rsid w:val="00745F54"/>
    <w:rsid w:val="007465B0"/>
    <w:rsid w:val="007474CB"/>
    <w:rsid w:val="0074766B"/>
    <w:rsid w:val="007478D2"/>
    <w:rsid w:val="00747BDF"/>
    <w:rsid w:val="00747EB3"/>
    <w:rsid w:val="00750E5D"/>
    <w:rsid w:val="007516ED"/>
    <w:rsid w:val="0075219A"/>
    <w:rsid w:val="00752BE7"/>
    <w:rsid w:val="007531E0"/>
    <w:rsid w:val="007531F5"/>
    <w:rsid w:val="007538F3"/>
    <w:rsid w:val="00756C70"/>
    <w:rsid w:val="00760177"/>
    <w:rsid w:val="007602C4"/>
    <w:rsid w:val="00760F48"/>
    <w:rsid w:val="00762264"/>
    <w:rsid w:val="00762DFF"/>
    <w:rsid w:val="00764009"/>
    <w:rsid w:val="00764CF8"/>
    <w:rsid w:val="00765F75"/>
    <w:rsid w:val="00772DF8"/>
    <w:rsid w:val="007801B1"/>
    <w:rsid w:val="00781730"/>
    <w:rsid w:val="00781936"/>
    <w:rsid w:val="00781FA1"/>
    <w:rsid w:val="0078421C"/>
    <w:rsid w:val="00784968"/>
    <w:rsid w:val="00784A4D"/>
    <w:rsid w:val="00785F36"/>
    <w:rsid w:val="007868E7"/>
    <w:rsid w:val="0078698F"/>
    <w:rsid w:val="0078765D"/>
    <w:rsid w:val="00787DE4"/>
    <w:rsid w:val="007903F1"/>
    <w:rsid w:val="0079136E"/>
    <w:rsid w:val="00791608"/>
    <w:rsid w:val="007916FA"/>
    <w:rsid w:val="0079291E"/>
    <w:rsid w:val="00792EA4"/>
    <w:rsid w:val="00793734"/>
    <w:rsid w:val="00793F3D"/>
    <w:rsid w:val="00794185"/>
    <w:rsid w:val="00794A33"/>
    <w:rsid w:val="00794BE2"/>
    <w:rsid w:val="007973D3"/>
    <w:rsid w:val="0079769C"/>
    <w:rsid w:val="00797760"/>
    <w:rsid w:val="007A0EF8"/>
    <w:rsid w:val="007A1386"/>
    <w:rsid w:val="007A3E0A"/>
    <w:rsid w:val="007A7268"/>
    <w:rsid w:val="007A749C"/>
    <w:rsid w:val="007A79FC"/>
    <w:rsid w:val="007B04BF"/>
    <w:rsid w:val="007B0787"/>
    <w:rsid w:val="007B0AF7"/>
    <w:rsid w:val="007B17E1"/>
    <w:rsid w:val="007B2B61"/>
    <w:rsid w:val="007B3679"/>
    <w:rsid w:val="007B3AD9"/>
    <w:rsid w:val="007B4C06"/>
    <w:rsid w:val="007B5D85"/>
    <w:rsid w:val="007B5DF6"/>
    <w:rsid w:val="007B6468"/>
    <w:rsid w:val="007B678F"/>
    <w:rsid w:val="007B693F"/>
    <w:rsid w:val="007C0D11"/>
    <w:rsid w:val="007C0D69"/>
    <w:rsid w:val="007C2342"/>
    <w:rsid w:val="007C257D"/>
    <w:rsid w:val="007C38C0"/>
    <w:rsid w:val="007C523B"/>
    <w:rsid w:val="007C6E98"/>
    <w:rsid w:val="007C744B"/>
    <w:rsid w:val="007C79ED"/>
    <w:rsid w:val="007D0AB6"/>
    <w:rsid w:val="007D0EAE"/>
    <w:rsid w:val="007D157E"/>
    <w:rsid w:val="007D1D54"/>
    <w:rsid w:val="007D1D9B"/>
    <w:rsid w:val="007D1DC4"/>
    <w:rsid w:val="007D3B44"/>
    <w:rsid w:val="007D3D49"/>
    <w:rsid w:val="007D492E"/>
    <w:rsid w:val="007D5C45"/>
    <w:rsid w:val="007D65B9"/>
    <w:rsid w:val="007E02D8"/>
    <w:rsid w:val="007E0731"/>
    <w:rsid w:val="007E0B39"/>
    <w:rsid w:val="007E0DF9"/>
    <w:rsid w:val="007E14F8"/>
    <w:rsid w:val="007E2061"/>
    <w:rsid w:val="007E281F"/>
    <w:rsid w:val="007E2E5A"/>
    <w:rsid w:val="007E2F7A"/>
    <w:rsid w:val="007E3B91"/>
    <w:rsid w:val="007E46DC"/>
    <w:rsid w:val="007E4762"/>
    <w:rsid w:val="007F0287"/>
    <w:rsid w:val="007F0436"/>
    <w:rsid w:val="007F078A"/>
    <w:rsid w:val="007F08DD"/>
    <w:rsid w:val="007F0920"/>
    <w:rsid w:val="007F17BF"/>
    <w:rsid w:val="007F1E51"/>
    <w:rsid w:val="007F27D8"/>
    <w:rsid w:val="007F28AB"/>
    <w:rsid w:val="007F2FD1"/>
    <w:rsid w:val="007F5057"/>
    <w:rsid w:val="007F68F0"/>
    <w:rsid w:val="007F6C1B"/>
    <w:rsid w:val="007F73B0"/>
    <w:rsid w:val="007F7CF0"/>
    <w:rsid w:val="007F7ED9"/>
    <w:rsid w:val="008019A1"/>
    <w:rsid w:val="008030D9"/>
    <w:rsid w:val="008034F7"/>
    <w:rsid w:val="008040DB"/>
    <w:rsid w:val="00804463"/>
    <w:rsid w:val="0080582E"/>
    <w:rsid w:val="0080640B"/>
    <w:rsid w:val="00806636"/>
    <w:rsid w:val="0080727D"/>
    <w:rsid w:val="00807369"/>
    <w:rsid w:val="00807B71"/>
    <w:rsid w:val="0081149E"/>
    <w:rsid w:val="0081158C"/>
    <w:rsid w:val="00811593"/>
    <w:rsid w:val="00812424"/>
    <w:rsid w:val="0081270B"/>
    <w:rsid w:val="0081390C"/>
    <w:rsid w:val="00813A4C"/>
    <w:rsid w:val="00814311"/>
    <w:rsid w:val="00814745"/>
    <w:rsid w:val="00815D31"/>
    <w:rsid w:val="00816A0E"/>
    <w:rsid w:val="0082027D"/>
    <w:rsid w:val="008236D3"/>
    <w:rsid w:val="00826A54"/>
    <w:rsid w:val="00827512"/>
    <w:rsid w:val="00831311"/>
    <w:rsid w:val="008316B8"/>
    <w:rsid w:val="008329B1"/>
    <w:rsid w:val="00832E01"/>
    <w:rsid w:val="00833CF0"/>
    <w:rsid w:val="00834146"/>
    <w:rsid w:val="0083614F"/>
    <w:rsid w:val="008367E2"/>
    <w:rsid w:val="00836F4D"/>
    <w:rsid w:val="00840F0A"/>
    <w:rsid w:val="008415AA"/>
    <w:rsid w:val="008429C8"/>
    <w:rsid w:val="00842B52"/>
    <w:rsid w:val="00842E88"/>
    <w:rsid w:val="00843488"/>
    <w:rsid w:val="00845177"/>
    <w:rsid w:val="0084690F"/>
    <w:rsid w:val="00847334"/>
    <w:rsid w:val="00847B07"/>
    <w:rsid w:val="0085028A"/>
    <w:rsid w:val="00851963"/>
    <w:rsid w:val="0085330A"/>
    <w:rsid w:val="00855F99"/>
    <w:rsid w:val="0085609A"/>
    <w:rsid w:val="00857A23"/>
    <w:rsid w:val="00857D42"/>
    <w:rsid w:val="00860231"/>
    <w:rsid w:val="00860E3E"/>
    <w:rsid w:val="008625FE"/>
    <w:rsid w:val="0086321B"/>
    <w:rsid w:val="008632F0"/>
    <w:rsid w:val="00863CAD"/>
    <w:rsid w:val="00864215"/>
    <w:rsid w:val="0086461F"/>
    <w:rsid w:val="0086468D"/>
    <w:rsid w:val="008664AF"/>
    <w:rsid w:val="00866F18"/>
    <w:rsid w:val="0086746B"/>
    <w:rsid w:val="0086773F"/>
    <w:rsid w:val="008677E7"/>
    <w:rsid w:val="00870973"/>
    <w:rsid w:val="00871F31"/>
    <w:rsid w:val="008722B7"/>
    <w:rsid w:val="00873283"/>
    <w:rsid w:val="00874971"/>
    <w:rsid w:val="0087535E"/>
    <w:rsid w:val="00875774"/>
    <w:rsid w:val="00875C11"/>
    <w:rsid w:val="00876DF5"/>
    <w:rsid w:val="00877488"/>
    <w:rsid w:val="008813DE"/>
    <w:rsid w:val="0088159C"/>
    <w:rsid w:val="00882787"/>
    <w:rsid w:val="00883163"/>
    <w:rsid w:val="008836CA"/>
    <w:rsid w:val="00883709"/>
    <w:rsid w:val="008837B3"/>
    <w:rsid w:val="00885546"/>
    <w:rsid w:val="0088638A"/>
    <w:rsid w:val="008869E9"/>
    <w:rsid w:val="00890573"/>
    <w:rsid w:val="00891FAB"/>
    <w:rsid w:val="00893CA5"/>
    <w:rsid w:val="008948D2"/>
    <w:rsid w:val="00897433"/>
    <w:rsid w:val="008A0057"/>
    <w:rsid w:val="008A1AF1"/>
    <w:rsid w:val="008A2E7C"/>
    <w:rsid w:val="008A4196"/>
    <w:rsid w:val="008A4379"/>
    <w:rsid w:val="008A54D6"/>
    <w:rsid w:val="008A6729"/>
    <w:rsid w:val="008A6761"/>
    <w:rsid w:val="008A6C1A"/>
    <w:rsid w:val="008A7202"/>
    <w:rsid w:val="008A7B33"/>
    <w:rsid w:val="008B019F"/>
    <w:rsid w:val="008B4DA0"/>
    <w:rsid w:val="008B5DEE"/>
    <w:rsid w:val="008B610A"/>
    <w:rsid w:val="008B66BD"/>
    <w:rsid w:val="008B6889"/>
    <w:rsid w:val="008C170B"/>
    <w:rsid w:val="008C1748"/>
    <w:rsid w:val="008C2590"/>
    <w:rsid w:val="008C3D25"/>
    <w:rsid w:val="008C45EF"/>
    <w:rsid w:val="008C5021"/>
    <w:rsid w:val="008C57B6"/>
    <w:rsid w:val="008C6000"/>
    <w:rsid w:val="008C6A90"/>
    <w:rsid w:val="008C6CFC"/>
    <w:rsid w:val="008C77F8"/>
    <w:rsid w:val="008D17AF"/>
    <w:rsid w:val="008D38E9"/>
    <w:rsid w:val="008D394E"/>
    <w:rsid w:val="008D3FE4"/>
    <w:rsid w:val="008D4961"/>
    <w:rsid w:val="008D4C65"/>
    <w:rsid w:val="008D527E"/>
    <w:rsid w:val="008D5BC7"/>
    <w:rsid w:val="008D5E44"/>
    <w:rsid w:val="008D646B"/>
    <w:rsid w:val="008D7379"/>
    <w:rsid w:val="008E2665"/>
    <w:rsid w:val="008E56D0"/>
    <w:rsid w:val="008E60B0"/>
    <w:rsid w:val="008E62C8"/>
    <w:rsid w:val="008E6B5B"/>
    <w:rsid w:val="008E7186"/>
    <w:rsid w:val="008E7E92"/>
    <w:rsid w:val="008E7F88"/>
    <w:rsid w:val="008F0433"/>
    <w:rsid w:val="008F1C01"/>
    <w:rsid w:val="008F30FC"/>
    <w:rsid w:val="008F3BA9"/>
    <w:rsid w:val="008F4F6E"/>
    <w:rsid w:val="008F5D8C"/>
    <w:rsid w:val="008F6F54"/>
    <w:rsid w:val="008F74C2"/>
    <w:rsid w:val="008F74FD"/>
    <w:rsid w:val="009005B9"/>
    <w:rsid w:val="00900727"/>
    <w:rsid w:val="009036F7"/>
    <w:rsid w:val="009046E4"/>
    <w:rsid w:val="0090769B"/>
    <w:rsid w:val="009076D0"/>
    <w:rsid w:val="00907801"/>
    <w:rsid w:val="00910900"/>
    <w:rsid w:val="00910F34"/>
    <w:rsid w:val="009125C8"/>
    <w:rsid w:val="00914860"/>
    <w:rsid w:val="00914B79"/>
    <w:rsid w:val="00914DD7"/>
    <w:rsid w:val="00915553"/>
    <w:rsid w:val="0091601F"/>
    <w:rsid w:val="009164DD"/>
    <w:rsid w:val="009174F6"/>
    <w:rsid w:val="00917609"/>
    <w:rsid w:val="009212EF"/>
    <w:rsid w:val="00921F09"/>
    <w:rsid w:val="00923517"/>
    <w:rsid w:val="0092378A"/>
    <w:rsid w:val="00923D3D"/>
    <w:rsid w:val="00924080"/>
    <w:rsid w:val="00924624"/>
    <w:rsid w:val="009246B3"/>
    <w:rsid w:val="00925326"/>
    <w:rsid w:val="00926F67"/>
    <w:rsid w:val="0092721E"/>
    <w:rsid w:val="00927781"/>
    <w:rsid w:val="00931F7B"/>
    <w:rsid w:val="00932B30"/>
    <w:rsid w:val="00933B6C"/>
    <w:rsid w:val="00933C43"/>
    <w:rsid w:val="00935281"/>
    <w:rsid w:val="009353F8"/>
    <w:rsid w:val="0093697C"/>
    <w:rsid w:val="009371B9"/>
    <w:rsid w:val="00941BC8"/>
    <w:rsid w:val="00942741"/>
    <w:rsid w:val="00942E9F"/>
    <w:rsid w:val="0094309C"/>
    <w:rsid w:val="00943F1E"/>
    <w:rsid w:val="009450DC"/>
    <w:rsid w:val="00945824"/>
    <w:rsid w:val="00950A81"/>
    <w:rsid w:val="00953F0F"/>
    <w:rsid w:val="00956F23"/>
    <w:rsid w:val="00957040"/>
    <w:rsid w:val="009609C8"/>
    <w:rsid w:val="00961022"/>
    <w:rsid w:val="009625CF"/>
    <w:rsid w:val="0096339C"/>
    <w:rsid w:val="0096534D"/>
    <w:rsid w:val="00965E15"/>
    <w:rsid w:val="00965E5D"/>
    <w:rsid w:val="00967D4D"/>
    <w:rsid w:val="0097003E"/>
    <w:rsid w:val="00970A82"/>
    <w:rsid w:val="0097104B"/>
    <w:rsid w:val="0097174A"/>
    <w:rsid w:val="00973F8A"/>
    <w:rsid w:val="00973FA7"/>
    <w:rsid w:val="0097573B"/>
    <w:rsid w:val="009762B0"/>
    <w:rsid w:val="009765F4"/>
    <w:rsid w:val="00976CD0"/>
    <w:rsid w:val="00977BFA"/>
    <w:rsid w:val="00982129"/>
    <w:rsid w:val="00982EDE"/>
    <w:rsid w:val="009831E2"/>
    <w:rsid w:val="00983544"/>
    <w:rsid w:val="009835A9"/>
    <w:rsid w:val="009861FE"/>
    <w:rsid w:val="00986AEC"/>
    <w:rsid w:val="0098756F"/>
    <w:rsid w:val="00990022"/>
    <w:rsid w:val="00991933"/>
    <w:rsid w:val="00992344"/>
    <w:rsid w:val="0099243A"/>
    <w:rsid w:val="009927A3"/>
    <w:rsid w:val="00992A83"/>
    <w:rsid w:val="009954B4"/>
    <w:rsid w:val="009955E1"/>
    <w:rsid w:val="00997F0A"/>
    <w:rsid w:val="009A26C2"/>
    <w:rsid w:val="009A5606"/>
    <w:rsid w:val="009A6124"/>
    <w:rsid w:val="009A6FF5"/>
    <w:rsid w:val="009A781C"/>
    <w:rsid w:val="009A7DAC"/>
    <w:rsid w:val="009B0220"/>
    <w:rsid w:val="009B0F1F"/>
    <w:rsid w:val="009B43C0"/>
    <w:rsid w:val="009B4A7A"/>
    <w:rsid w:val="009B4BC9"/>
    <w:rsid w:val="009B5DD1"/>
    <w:rsid w:val="009B5F77"/>
    <w:rsid w:val="009B6932"/>
    <w:rsid w:val="009C1DB3"/>
    <w:rsid w:val="009C1F85"/>
    <w:rsid w:val="009C3632"/>
    <w:rsid w:val="009C457B"/>
    <w:rsid w:val="009C45A9"/>
    <w:rsid w:val="009C5636"/>
    <w:rsid w:val="009C5B00"/>
    <w:rsid w:val="009C6AB2"/>
    <w:rsid w:val="009C7A54"/>
    <w:rsid w:val="009C7A69"/>
    <w:rsid w:val="009C7C09"/>
    <w:rsid w:val="009D0A39"/>
    <w:rsid w:val="009D1D69"/>
    <w:rsid w:val="009D1EE5"/>
    <w:rsid w:val="009D30C1"/>
    <w:rsid w:val="009D37D4"/>
    <w:rsid w:val="009D3B80"/>
    <w:rsid w:val="009D4B28"/>
    <w:rsid w:val="009D6AD8"/>
    <w:rsid w:val="009D7157"/>
    <w:rsid w:val="009E0511"/>
    <w:rsid w:val="009E08F3"/>
    <w:rsid w:val="009E263F"/>
    <w:rsid w:val="009E3288"/>
    <w:rsid w:val="009E4BEB"/>
    <w:rsid w:val="009E5524"/>
    <w:rsid w:val="009E55F7"/>
    <w:rsid w:val="009E6BEB"/>
    <w:rsid w:val="009E6EE6"/>
    <w:rsid w:val="009F0569"/>
    <w:rsid w:val="009F0D5A"/>
    <w:rsid w:val="009F10FE"/>
    <w:rsid w:val="009F11A5"/>
    <w:rsid w:val="009F11D3"/>
    <w:rsid w:val="009F15C4"/>
    <w:rsid w:val="009F1FEF"/>
    <w:rsid w:val="009F2391"/>
    <w:rsid w:val="009F2DCF"/>
    <w:rsid w:val="009F4A1D"/>
    <w:rsid w:val="009F4E6A"/>
    <w:rsid w:val="009F53D8"/>
    <w:rsid w:val="009F64EA"/>
    <w:rsid w:val="009F6F4F"/>
    <w:rsid w:val="009F7661"/>
    <w:rsid w:val="009F76E9"/>
    <w:rsid w:val="00A0302B"/>
    <w:rsid w:val="00A0307E"/>
    <w:rsid w:val="00A048FA"/>
    <w:rsid w:val="00A04E2E"/>
    <w:rsid w:val="00A05E84"/>
    <w:rsid w:val="00A06017"/>
    <w:rsid w:val="00A1279C"/>
    <w:rsid w:val="00A12EBF"/>
    <w:rsid w:val="00A148AB"/>
    <w:rsid w:val="00A14DCE"/>
    <w:rsid w:val="00A15777"/>
    <w:rsid w:val="00A1578D"/>
    <w:rsid w:val="00A15D08"/>
    <w:rsid w:val="00A16183"/>
    <w:rsid w:val="00A17D0C"/>
    <w:rsid w:val="00A2102E"/>
    <w:rsid w:val="00A21042"/>
    <w:rsid w:val="00A22751"/>
    <w:rsid w:val="00A25A84"/>
    <w:rsid w:val="00A274B6"/>
    <w:rsid w:val="00A30B3B"/>
    <w:rsid w:val="00A319F5"/>
    <w:rsid w:val="00A31A11"/>
    <w:rsid w:val="00A31D44"/>
    <w:rsid w:val="00A32671"/>
    <w:rsid w:val="00A33683"/>
    <w:rsid w:val="00A379E7"/>
    <w:rsid w:val="00A37BE1"/>
    <w:rsid w:val="00A40150"/>
    <w:rsid w:val="00A41457"/>
    <w:rsid w:val="00A42497"/>
    <w:rsid w:val="00A43530"/>
    <w:rsid w:val="00A45A5E"/>
    <w:rsid w:val="00A45DC9"/>
    <w:rsid w:val="00A45F6C"/>
    <w:rsid w:val="00A46CB4"/>
    <w:rsid w:val="00A47B67"/>
    <w:rsid w:val="00A5002F"/>
    <w:rsid w:val="00A50787"/>
    <w:rsid w:val="00A50DC4"/>
    <w:rsid w:val="00A50F21"/>
    <w:rsid w:val="00A511BD"/>
    <w:rsid w:val="00A51C39"/>
    <w:rsid w:val="00A53C22"/>
    <w:rsid w:val="00A55F69"/>
    <w:rsid w:val="00A56D74"/>
    <w:rsid w:val="00A56E73"/>
    <w:rsid w:val="00A56EB7"/>
    <w:rsid w:val="00A578C8"/>
    <w:rsid w:val="00A57D02"/>
    <w:rsid w:val="00A61112"/>
    <w:rsid w:val="00A61243"/>
    <w:rsid w:val="00A6156E"/>
    <w:rsid w:val="00A6269A"/>
    <w:rsid w:val="00A62AA2"/>
    <w:rsid w:val="00A639B5"/>
    <w:rsid w:val="00A64F97"/>
    <w:rsid w:val="00A6524E"/>
    <w:rsid w:val="00A65BE6"/>
    <w:rsid w:val="00A66732"/>
    <w:rsid w:val="00A667CC"/>
    <w:rsid w:val="00A66DE8"/>
    <w:rsid w:val="00A66E33"/>
    <w:rsid w:val="00A6707F"/>
    <w:rsid w:val="00A67A77"/>
    <w:rsid w:val="00A7103B"/>
    <w:rsid w:val="00A712EF"/>
    <w:rsid w:val="00A721E1"/>
    <w:rsid w:val="00A73F3D"/>
    <w:rsid w:val="00A75CF3"/>
    <w:rsid w:val="00A76704"/>
    <w:rsid w:val="00A76DFC"/>
    <w:rsid w:val="00A77E9A"/>
    <w:rsid w:val="00A81B01"/>
    <w:rsid w:val="00A820CD"/>
    <w:rsid w:val="00A8360E"/>
    <w:rsid w:val="00A8364B"/>
    <w:rsid w:val="00A83CBA"/>
    <w:rsid w:val="00A83FD6"/>
    <w:rsid w:val="00A848B9"/>
    <w:rsid w:val="00A85566"/>
    <w:rsid w:val="00A860F0"/>
    <w:rsid w:val="00A87078"/>
    <w:rsid w:val="00A87566"/>
    <w:rsid w:val="00A90494"/>
    <w:rsid w:val="00A91FC7"/>
    <w:rsid w:val="00A921CF"/>
    <w:rsid w:val="00A93DF6"/>
    <w:rsid w:val="00A941D1"/>
    <w:rsid w:val="00A94683"/>
    <w:rsid w:val="00A94E4D"/>
    <w:rsid w:val="00A95565"/>
    <w:rsid w:val="00A95881"/>
    <w:rsid w:val="00AA002B"/>
    <w:rsid w:val="00AA0039"/>
    <w:rsid w:val="00AA020E"/>
    <w:rsid w:val="00AA1CF2"/>
    <w:rsid w:val="00AA2949"/>
    <w:rsid w:val="00AA2B72"/>
    <w:rsid w:val="00AA4688"/>
    <w:rsid w:val="00AA4A1A"/>
    <w:rsid w:val="00AA59E2"/>
    <w:rsid w:val="00AA5C2F"/>
    <w:rsid w:val="00AA5F51"/>
    <w:rsid w:val="00AA64DE"/>
    <w:rsid w:val="00AA70FF"/>
    <w:rsid w:val="00AA77BD"/>
    <w:rsid w:val="00AA7C7F"/>
    <w:rsid w:val="00AB0AD7"/>
    <w:rsid w:val="00AB1046"/>
    <w:rsid w:val="00AB4161"/>
    <w:rsid w:val="00AB4F24"/>
    <w:rsid w:val="00AB6B17"/>
    <w:rsid w:val="00AB79C7"/>
    <w:rsid w:val="00AC0305"/>
    <w:rsid w:val="00AC11D1"/>
    <w:rsid w:val="00AC3E3E"/>
    <w:rsid w:val="00AC5FFA"/>
    <w:rsid w:val="00AC7BAE"/>
    <w:rsid w:val="00AD119C"/>
    <w:rsid w:val="00AD1A30"/>
    <w:rsid w:val="00AD1D64"/>
    <w:rsid w:val="00AD2B6E"/>
    <w:rsid w:val="00AD37E3"/>
    <w:rsid w:val="00AD45EF"/>
    <w:rsid w:val="00AD4CC1"/>
    <w:rsid w:val="00AD54B6"/>
    <w:rsid w:val="00AD5519"/>
    <w:rsid w:val="00AD72C7"/>
    <w:rsid w:val="00AD7827"/>
    <w:rsid w:val="00AE09A7"/>
    <w:rsid w:val="00AE19AC"/>
    <w:rsid w:val="00AE1C18"/>
    <w:rsid w:val="00AE2C79"/>
    <w:rsid w:val="00AE4B3A"/>
    <w:rsid w:val="00AE4FAE"/>
    <w:rsid w:val="00AE65E0"/>
    <w:rsid w:val="00AE7145"/>
    <w:rsid w:val="00AF1307"/>
    <w:rsid w:val="00AF145B"/>
    <w:rsid w:val="00AF1DF0"/>
    <w:rsid w:val="00AF29F4"/>
    <w:rsid w:val="00AF3344"/>
    <w:rsid w:val="00AF374C"/>
    <w:rsid w:val="00AF5811"/>
    <w:rsid w:val="00AF612A"/>
    <w:rsid w:val="00AF73D3"/>
    <w:rsid w:val="00B024C1"/>
    <w:rsid w:val="00B024CD"/>
    <w:rsid w:val="00B037AD"/>
    <w:rsid w:val="00B03D31"/>
    <w:rsid w:val="00B05024"/>
    <w:rsid w:val="00B05636"/>
    <w:rsid w:val="00B05AD3"/>
    <w:rsid w:val="00B066DE"/>
    <w:rsid w:val="00B06967"/>
    <w:rsid w:val="00B078A4"/>
    <w:rsid w:val="00B07BD1"/>
    <w:rsid w:val="00B10026"/>
    <w:rsid w:val="00B10442"/>
    <w:rsid w:val="00B10600"/>
    <w:rsid w:val="00B1112A"/>
    <w:rsid w:val="00B118E3"/>
    <w:rsid w:val="00B12701"/>
    <w:rsid w:val="00B12848"/>
    <w:rsid w:val="00B12D5B"/>
    <w:rsid w:val="00B13005"/>
    <w:rsid w:val="00B134F0"/>
    <w:rsid w:val="00B13D1D"/>
    <w:rsid w:val="00B15D6A"/>
    <w:rsid w:val="00B16402"/>
    <w:rsid w:val="00B206F4"/>
    <w:rsid w:val="00B21F71"/>
    <w:rsid w:val="00B222CF"/>
    <w:rsid w:val="00B22967"/>
    <w:rsid w:val="00B2500E"/>
    <w:rsid w:val="00B25182"/>
    <w:rsid w:val="00B266D4"/>
    <w:rsid w:val="00B26880"/>
    <w:rsid w:val="00B308A0"/>
    <w:rsid w:val="00B31410"/>
    <w:rsid w:val="00B31913"/>
    <w:rsid w:val="00B31D23"/>
    <w:rsid w:val="00B31F7F"/>
    <w:rsid w:val="00B33596"/>
    <w:rsid w:val="00B3569B"/>
    <w:rsid w:val="00B359C9"/>
    <w:rsid w:val="00B367A7"/>
    <w:rsid w:val="00B36EA8"/>
    <w:rsid w:val="00B37698"/>
    <w:rsid w:val="00B409F7"/>
    <w:rsid w:val="00B41D30"/>
    <w:rsid w:val="00B428F9"/>
    <w:rsid w:val="00B4685B"/>
    <w:rsid w:val="00B4755C"/>
    <w:rsid w:val="00B47897"/>
    <w:rsid w:val="00B50B91"/>
    <w:rsid w:val="00B544A9"/>
    <w:rsid w:val="00B55232"/>
    <w:rsid w:val="00B55B5B"/>
    <w:rsid w:val="00B56222"/>
    <w:rsid w:val="00B56C6D"/>
    <w:rsid w:val="00B57071"/>
    <w:rsid w:val="00B570DD"/>
    <w:rsid w:val="00B572DA"/>
    <w:rsid w:val="00B57B65"/>
    <w:rsid w:val="00B61486"/>
    <w:rsid w:val="00B61627"/>
    <w:rsid w:val="00B619A0"/>
    <w:rsid w:val="00B63450"/>
    <w:rsid w:val="00B63675"/>
    <w:rsid w:val="00B63AED"/>
    <w:rsid w:val="00B647E5"/>
    <w:rsid w:val="00B654D7"/>
    <w:rsid w:val="00B67BCC"/>
    <w:rsid w:val="00B70BD3"/>
    <w:rsid w:val="00B729AA"/>
    <w:rsid w:val="00B729D8"/>
    <w:rsid w:val="00B75723"/>
    <w:rsid w:val="00B762E7"/>
    <w:rsid w:val="00B76F2C"/>
    <w:rsid w:val="00B809A9"/>
    <w:rsid w:val="00B81ADC"/>
    <w:rsid w:val="00B82C1D"/>
    <w:rsid w:val="00B830C6"/>
    <w:rsid w:val="00B8314D"/>
    <w:rsid w:val="00B842AE"/>
    <w:rsid w:val="00B85041"/>
    <w:rsid w:val="00B853AD"/>
    <w:rsid w:val="00B86EA8"/>
    <w:rsid w:val="00B8742A"/>
    <w:rsid w:val="00B914F1"/>
    <w:rsid w:val="00B9191A"/>
    <w:rsid w:val="00B92CA9"/>
    <w:rsid w:val="00B933D7"/>
    <w:rsid w:val="00B94780"/>
    <w:rsid w:val="00B94EC2"/>
    <w:rsid w:val="00B96274"/>
    <w:rsid w:val="00B968D3"/>
    <w:rsid w:val="00B97732"/>
    <w:rsid w:val="00B97BEF"/>
    <w:rsid w:val="00BA09EF"/>
    <w:rsid w:val="00BA105E"/>
    <w:rsid w:val="00BA1677"/>
    <w:rsid w:val="00BA2DEB"/>
    <w:rsid w:val="00BA3378"/>
    <w:rsid w:val="00BA40D2"/>
    <w:rsid w:val="00BA4161"/>
    <w:rsid w:val="00BA4528"/>
    <w:rsid w:val="00BA4DB4"/>
    <w:rsid w:val="00BA5960"/>
    <w:rsid w:val="00BA5CD8"/>
    <w:rsid w:val="00BA64C4"/>
    <w:rsid w:val="00BA6798"/>
    <w:rsid w:val="00BA74B8"/>
    <w:rsid w:val="00BB0E51"/>
    <w:rsid w:val="00BB21C7"/>
    <w:rsid w:val="00BB2D4C"/>
    <w:rsid w:val="00BB5BC9"/>
    <w:rsid w:val="00BB7E15"/>
    <w:rsid w:val="00BC09F3"/>
    <w:rsid w:val="00BC1048"/>
    <w:rsid w:val="00BC1825"/>
    <w:rsid w:val="00BC1ECC"/>
    <w:rsid w:val="00BC20F9"/>
    <w:rsid w:val="00BC2CA0"/>
    <w:rsid w:val="00BC2D06"/>
    <w:rsid w:val="00BC3770"/>
    <w:rsid w:val="00BC7120"/>
    <w:rsid w:val="00BC7637"/>
    <w:rsid w:val="00BC778A"/>
    <w:rsid w:val="00BD0AA0"/>
    <w:rsid w:val="00BD3574"/>
    <w:rsid w:val="00BD4B87"/>
    <w:rsid w:val="00BD5131"/>
    <w:rsid w:val="00BD5612"/>
    <w:rsid w:val="00BD716E"/>
    <w:rsid w:val="00BE0056"/>
    <w:rsid w:val="00BE0158"/>
    <w:rsid w:val="00BE059C"/>
    <w:rsid w:val="00BE16E0"/>
    <w:rsid w:val="00BE18F5"/>
    <w:rsid w:val="00BE21DB"/>
    <w:rsid w:val="00BE3177"/>
    <w:rsid w:val="00BE4385"/>
    <w:rsid w:val="00BE5503"/>
    <w:rsid w:val="00BE5C33"/>
    <w:rsid w:val="00BE5E79"/>
    <w:rsid w:val="00BE6513"/>
    <w:rsid w:val="00BE67D6"/>
    <w:rsid w:val="00BE69CF"/>
    <w:rsid w:val="00BE7285"/>
    <w:rsid w:val="00BE7875"/>
    <w:rsid w:val="00BE7CB9"/>
    <w:rsid w:val="00BE7E35"/>
    <w:rsid w:val="00BF5F77"/>
    <w:rsid w:val="00C00BBB"/>
    <w:rsid w:val="00C012FD"/>
    <w:rsid w:val="00C02648"/>
    <w:rsid w:val="00C03C34"/>
    <w:rsid w:val="00C03CFD"/>
    <w:rsid w:val="00C07EF0"/>
    <w:rsid w:val="00C114B4"/>
    <w:rsid w:val="00C1252B"/>
    <w:rsid w:val="00C12D2F"/>
    <w:rsid w:val="00C1343F"/>
    <w:rsid w:val="00C13CB0"/>
    <w:rsid w:val="00C14CD1"/>
    <w:rsid w:val="00C14E30"/>
    <w:rsid w:val="00C15D82"/>
    <w:rsid w:val="00C15DF3"/>
    <w:rsid w:val="00C179ED"/>
    <w:rsid w:val="00C209DF"/>
    <w:rsid w:val="00C2108D"/>
    <w:rsid w:val="00C21845"/>
    <w:rsid w:val="00C21D4C"/>
    <w:rsid w:val="00C21DAF"/>
    <w:rsid w:val="00C220F9"/>
    <w:rsid w:val="00C22B4E"/>
    <w:rsid w:val="00C236F2"/>
    <w:rsid w:val="00C2485C"/>
    <w:rsid w:val="00C24A78"/>
    <w:rsid w:val="00C25861"/>
    <w:rsid w:val="00C25D5C"/>
    <w:rsid w:val="00C25F9F"/>
    <w:rsid w:val="00C26755"/>
    <w:rsid w:val="00C2711B"/>
    <w:rsid w:val="00C274F5"/>
    <w:rsid w:val="00C27FDA"/>
    <w:rsid w:val="00C30E01"/>
    <w:rsid w:val="00C31869"/>
    <w:rsid w:val="00C33865"/>
    <w:rsid w:val="00C33D67"/>
    <w:rsid w:val="00C3451C"/>
    <w:rsid w:val="00C347D6"/>
    <w:rsid w:val="00C3492F"/>
    <w:rsid w:val="00C35C7A"/>
    <w:rsid w:val="00C37A42"/>
    <w:rsid w:val="00C40C1E"/>
    <w:rsid w:val="00C40D78"/>
    <w:rsid w:val="00C41CF8"/>
    <w:rsid w:val="00C426D5"/>
    <w:rsid w:val="00C433BB"/>
    <w:rsid w:val="00C44204"/>
    <w:rsid w:val="00C446A9"/>
    <w:rsid w:val="00C4483C"/>
    <w:rsid w:val="00C44AAE"/>
    <w:rsid w:val="00C4536B"/>
    <w:rsid w:val="00C46FA8"/>
    <w:rsid w:val="00C5119E"/>
    <w:rsid w:val="00C51D94"/>
    <w:rsid w:val="00C522C7"/>
    <w:rsid w:val="00C542D6"/>
    <w:rsid w:val="00C5431A"/>
    <w:rsid w:val="00C54C23"/>
    <w:rsid w:val="00C56298"/>
    <w:rsid w:val="00C56A9D"/>
    <w:rsid w:val="00C56B00"/>
    <w:rsid w:val="00C56BA0"/>
    <w:rsid w:val="00C57377"/>
    <w:rsid w:val="00C57B5F"/>
    <w:rsid w:val="00C6084B"/>
    <w:rsid w:val="00C61111"/>
    <w:rsid w:val="00C62012"/>
    <w:rsid w:val="00C62886"/>
    <w:rsid w:val="00C62C48"/>
    <w:rsid w:val="00C62C84"/>
    <w:rsid w:val="00C62FD2"/>
    <w:rsid w:val="00C63018"/>
    <w:rsid w:val="00C63914"/>
    <w:rsid w:val="00C65741"/>
    <w:rsid w:val="00C71769"/>
    <w:rsid w:val="00C71886"/>
    <w:rsid w:val="00C718DD"/>
    <w:rsid w:val="00C73431"/>
    <w:rsid w:val="00C746B1"/>
    <w:rsid w:val="00C76356"/>
    <w:rsid w:val="00C766A6"/>
    <w:rsid w:val="00C76B96"/>
    <w:rsid w:val="00C76F03"/>
    <w:rsid w:val="00C77CA9"/>
    <w:rsid w:val="00C77D6F"/>
    <w:rsid w:val="00C803FE"/>
    <w:rsid w:val="00C81185"/>
    <w:rsid w:val="00C81442"/>
    <w:rsid w:val="00C81D2C"/>
    <w:rsid w:val="00C821B3"/>
    <w:rsid w:val="00C8236B"/>
    <w:rsid w:val="00C8337D"/>
    <w:rsid w:val="00C83DF6"/>
    <w:rsid w:val="00C8455B"/>
    <w:rsid w:val="00C84638"/>
    <w:rsid w:val="00C84A19"/>
    <w:rsid w:val="00C84EA1"/>
    <w:rsid w:val="00C857AA"/>
    <w:rsid w:val="00C85F73"/>
    <w:rsid w:val="00C86C16"/>
    <w:rsid w:val="00C8724B"/>
    <w:rsid w:val="00C87DB7"/>
    <w:rsid w:val="00C91181"/>
    <w:rsid w:val="00C915BE"/>
    <w:rsid w:val="00C91B4B"/>
    <w:rsid w:val="00C91F1E"/>
    <w:rsid w:val="00C93B50"/>
    <w:rsid w:val="00C93BD5"/>
    <w:rsid w:val="00C95233"/>
    <w:rsid w:val="00C95509"/>
    <w:rsid w:val="00C959EA"/>
    <w:rsid w:val="00C96876"/>
    <w:rsid w:val="00C96DDC"/>
    <w:rsid w:val="00CA0296"/>
    <w:rsid w:val="00CA0299"/>
    <w:rsid w:val="00CA055D"/>
    <w:rsid w:val="00CA1B52"/>
    <w:rsid w:val="00CA1C7A"/>
    <w:rsid w:val="00CA1C7E"/>
    <w:rsid w:val="00CA31F5"/>
    <w:rsid w:val="00CA342B"/>
    <w:rsid w:val="00CA35D4"/>
    <w:rsid w:val="00CA3909"/>
    <w:rsid w:val="00CA3F0B"/>
    <w:rsid w:val="00CA4CAD"/>
    <w:rsid w:val="00CA535B"/>
    <w:rsid w:val="00CA592C"/>
    <w:rsid w:val="00CA6CAA"/>
    <w:rsid w:val="00CA6D66"/>
    <w:rsid w:val="00CA7A22"/>
    <w:rsid w:val="00CB1AE5"/>
    <w:rsid w:val="00CB49DD"/>
    <w:rsid w:val="00CB5C79"/>
    <w:rsid w:val="00CB6482"/>
    <w:rsid w:val="00CC0113"/>
    <w:rsid w:val="00CC0996"/>
    <w:rsid w:val="00CC17B1"/>
    <w:rsid w:val="00CC276E"/>
    <w:rsid w:val="00CC44DD"/>
    <w:rsid w:val="00CC5B91"/>
    <w:rsid w:val="00CC5D2F"/>
    <w:rsid w:val="00CC5F93"/>
    <w:rsid w:val="00CC66C4"/>
    <w:rsid w:val="00CC728E"/>
    <w:rsid w:val="00CC7B7F"/>
    <w:rsid w:val="00CC7FC2"/>
    <w:rsid w:val="00CD2A6A"/>
    <w:rsid w:val="00CD2DF7"/>
    <w:rsid w:val="00CD3595"/>
    <w:rsid w:val="00CD35E2"/>
    <w:rsid w:val="00CD7B29"/>
    <w:rsid w:val="00CE165F"/>
    <w:rsid w:val="00CE16DA"/>
    <w:rsid w:val="00CE569E"/>
    <w:rsid w:val="00CE5A9E"/>
    <w:rsid w:val="00CE7193"/>
    <w:rsid w:val="00CE79BA"/>
    <w:rsid w:val="00CE7F8D"/>
    <w:rsid w:val="00CF0A8B"/>
    <w:rsid w:val="00CF0B83"/>
    <w:rsid w:val="00CF1976"/>
    <w:rsid w:val="00CF2018"/>
    <w:rsid w:val="00CF21C4"/>
    <w:rsid w:val="00CF3A72"/>
    <w:rsid w:val="00CF41E1"/>
    <w:rsid w:val="00CF480F"/>
    <w:rsid w:val="00CF54E5"/>
    <w:rsid w:val="00CF59DE"/>
    <w:rsid w:val="00CF6369"/>
    <w:rsid w:val="00D00340"/>
    <w:rsid w:val="00D0176A"/>
    <w:rsid w:val="00D0351F"/>
    <w:rsid w:val="00D0721D"/>
    <w:rsid w:val="00D07F2E"/>
    <w:rsid w:val="00D10326"/>
    <w:rsid w:val="00D108BA"/>
    <w:rsid w:val="00D116BD"/>
    <w:rsid w:val="00D11D26"/>
    <w:rsid w:val="00D138C7"/>
    <w:rsid w:val="00D144AA"/>
    <w:rsid w:val="00D14A1A"/>
    <w:rsid w:val="00D161B4"/>
    <w:rsid w:val="00D166CC"/>
    <w:rsid w:val="00D16A68"/>
    <w:rsid w:val="00D17295"/>
    <w:rsid w:val="00D211DA"/>
    <w:rsid w:val="00D2171B"/>
    <w:rsid w:val="00D21D24"/>
    <w:rsid w:val="00D22C58"/>
    <w:rsid w:val="00D22ED4"/>
    <w:rsid w:val="00D240C0"/>
    <w:rsid w:val="00D24BE2"/>
    <w:rsid w:val="00D2635F"/>
    <w:rsid w:val="00D27B45"/>
    <w:rsid w:val="00D27CE9"/>
    <w:rsid w:val="00D30284"/>
    <w:rsid w:val="00D302D5"/>
    <w:rsid w:val="00D31617"/>
    <w:rsid w:val="00D32596"/>
    <w:rsid w:val="00D339E9"/>
    <w:rsid w:val="00D33C72"/>
    <w:rsid w:val="00D356EA"/>
    <w:rsid w:val="00D35EE2"/>
    <w:rsid w:val="00D363C1"/>
    <w:rsid w:val="00D36FFB"/>
    <w:rsid w:val="00D3716C"/>
    <w:rsid w:val="00D37BD4"/>
    <w:rsid w:val="00D412E0"/>
    <w:rsid w:val="00D41C09"/>
    <w:rsid w:val="00D420DE"/>
    <w:rsid w:val="00D4302A"/>
    <w:rsid w:val="00D4438F"/>
    <w:rsid w:val="00D44A17"/>
    <w:rsid w:val="00D4634D"/>
    <w:rsid w:val="00D5003A"/>
    <w:rsid w:val="00D510BC"/>
    <w:rsid w:val="00D51B32"/>
    <w:rsid w:val="00D521D5"/>
    <w:rsid w:val="00D52CE8"/>
    <w:rsid w:val="00D52E22"/>
    <w:rsid w:val="00D540BC"/>
    <w:rsid w:val="00D54E2B"/>
    <w:rsid w:val="00D554D0"/>
    <w:rsid w:val="00D55630"/>
    <w:rsid w:val="00D5658C"/>
    <w:rsid w:val="00D565C7"/>
    <w:rsid w:val="00D6021B"/>
    <w:rsid w:val="00D608C9"/>
    <w:rsid w:val="00D60E09"/>
    <w:rsid w:val="00D6128D"/>
    <w:rsid w:val="00D61B9D"/>
    <w:rsid w:val="00D62027"/>
    <w:rsid w:val="00D62F27"/>
    <w:rsid w:val="00D63C58"/>
    <w:rsid w:val="00D640E0"/>
    <w:rsid w:val="00D64AA0"/>
    <w:rsid w:val="00D6533E"/>
    <w:rsid w:val="00D66067"/>
    <w:rsid w:val="00D66300"/>
    <w:rsid w:val="00D6644F"/>
    <w:rsid w:val="00D703F1"/>
    <w:rsid w:val="00D70666"/>
    <w:rsid w:val="00D72F0F"/>
    <w:rsid w:val="00D733A7"/>
    <w:rsid w:val="00D735B1"/>
    <w:rsid w:val="00D745B4"/>
    <w:rsid w:val="00D74CCC"/>
    <w:rsid w:val="00D761F6"/>
    <w:rsid w:val="00D76C86"/>
    <w:rsid w:val="00D7708A"/>
    <w:rsid w:val="00D77672"/>
    <w:rsid w:val="00D77D26"/>
    <w:rsid w:val="00D77FC1"/>
    <w:rsid w:val="00D80D9C"/>
    <w:rsid w:val="00D80EBD"/>
    <w:rsid w:val="00D81681"/>
    <w:rsid w:val="00D82076"/>
    <w:rsid w:val="00D82CEE"/>
    <w:rsid w:val="00D83344"/>
    <w:rsid w:val="00D8452B"/>
    <w:rsid w:val="00D849B2"/>
    <w:rsid w:val="00D85969"/>
    <w:rsid w:val="00D85D4A"/>
    <w:rsid w:val="00D869BC"/>
    <w:rsid w:val="00D86C12"/>
    <w:rsid w:val="00D90E4E"/>
    <w:rsid w:val="00D91606"/>
    <w:rsid w:val="00D930BB"/>
    <w:rsid w:val="00D93333"/>
    <w:rsid w:val="00D944D5"/>
    <w:rsid w:val="00D964BD"/>
    <w:rsid w:val="00DA0799"/>
    <w:rsid w:val="00DA0F24"/>
    <w:rsid w:val="00DA1248"/>
    <w:rsid w:val="00DA17F9"/>
    <w:rsid w:val="00DA277A"/>
    <w:rsid w:val="00DA2B38"/>
    <w:rsid w:val="00DA2E51"/>
    <w:rsid w:val="00DA3423"/>
    <w:rsid w:val="00DA3A20"/>
    <w:rsid w:val="00DA3D32"/>
    <w:rsid w:val="00DA4F3C"/>
    <w:rsid w:val="00DA727F"/>
    <w:rsid w:val="00DA7E9B"/>
    <w:rsid w:val="00DB0F78"/>
    <w:rsid w:val="00DB262C"/>
    <w:rsid w:val="00DB3982"/>
    <w:rsid w:val="00DB4BB5"/>
    <w:rsid w:val="00DB5145"/>
    <w:rsid w:val="00DB549D"/>
    <w:rsid w:val="00DB5588"/>
    <w:rsid w:val="00DB5A08"/>
    <w:rsid w:val="00DB5A57"/>
    <w:rsid w:val="00DB5BCB"/>
    <w:rsid w:val="00DB5D8E"/>
    <w:rsid w:val="00DB6D48"/>
    <w:rsid w:val="00DB6E38"/>
    <w:rsid w:val="00DC0600"/>
    <w:rsid w:val="00DC0639"/>
    <w:rsid w:val="00DC249A"/>
    <w:rsid w:val="00DC29D1"/>
    <w:rsid w:val="00DC3321"/>
    <w:rsid w:val="00DC39D3"/>
    <w:rsid w:val="00DC3AD7"/>
    <w:rsid w:val="00DC3CB0"/>
    <w:rsid w:val="00DC637D"/>
    <w:rsid w:val="00DC7160"/>
    <w:rsid w:val="00DD02E7"/>
    <w:rsid w:val="00DD0784"/>
    <w:rsid w:val="00DD0CA4"/>
    <w:rsid w:val="00DD14A9"/>
    <w:rsid w:val="00DD36FD"/>
    <w:rsid w:val="00DD40C7"/>
    <w:rsid w:val="00DD45F7"/>
    <w:rsid w:val="00DD5466"/>
    <w:rsid w:val="00DD75E5"/>
    <w:rsid w:val="00DD78F5"/>
    <w:rsid w:val="00DD7C6C"/>
    <w:rsid w:val="00DD7E5A"/>
    <w:rsid w:val="00DE0854"/>
    <w:rsid w:val="00DE08D1"/>
    <w:rsid w:val="00DE0B24"/>
    <w:rsid w:val="00DE1238"/>
    <w:rsid w:val="00DE179C"/>
    <w:rsid w:val="00DE250C"/>
    <w:rsid w:val="00DE2D32"/>
    <w:rsid w:val="00DE413C"/>
    <w:rsid w:val="00DE4FF8"/>
    <w:rsid w:val="00DE55E7"/>
    <w:rsid w:val="00DE5EDD"/>
    <w:rsid w:val="00DE7664"/>
    <w:rsid w:val="00DE7A63"/>
    <w:rsid w:val="00DF1685"/>
    <w:rsid w:val="00DF1A19"/>
    <w:rsid w:val="00DF29E3"/>
    <w:rsid w:val="00DF2C17"/>
    <w:rsid w:val="00DF391C"/>
    <w:rsid w:val="00DF3A43"/>
    <w:rsid w:val="00DF3F61"/>
    <w:rsid w:val="00DF450D"/>
    <w:rsid w:val="00DF4AF7"/>
    <w:rsid w:val="00DF6440"/>
    <w:rsid w:val="00DF6944"/>
    <w:rsid w:val="00DF7A79"/>
    <w:rsid w:val="00DF7DBE"/>
    <w:rsid w:val="00E0054F"/>
    <w:rsid w:val="00E008B8"/>
    <w:rsid w:val="00E029A4"/>
    <w:rsid w:val="00E03087"/>
    <w:rsid w:val="00E03298"/>
    <w:rsid w:val="00E03524"/>
    <w:rsid w:val="00E0397C"/>
    <w:rsid w:val="00E03A14"/>
    <w:rsid w:val="00E0660A"/>
    <w:rsid w:val="00E07CC0"/>
    <w:rsid w:val="00E07CEA"/>
    <w:rsid w:val="00E11A27"/>
    <w:rsid w:val="00E11D63"/>
    <w:rsid w:val="00E14DA7"/>
    <w:rsid w:val="00E1581E"/>
    <w:rsid w:val="00E15BDB"/>
    <w:rsid w:val="00E16839"/>
    <w:rsid w:val="00E171D3"/>
    <w:rsid w:val="00E20425"/>
    <w:rsid w:val="00E210A8"/>
    <w:rsid w:val="00E21A20"/>
    <w:rsid w:val="00E21D6B"/>
    <w:rsid w:val="00E2267C"/>
    <w:rsid w:val="00E22B4B"/>
    <w:rsid w:val="00E22D3D"/>
    <w:rsid w:val="00E24565"/>
    <w:rsid w:val="00E25158"/>
    <w:rsid w:val="00E30ED2"/>
    <w:rsid w:val="00E316A5"/>
    <w:rsid w:val="00E31E1F"/>
    <w:rsid w:val="00E32884"/>
    <w:rsid w:val="00E36DE0"/>
    <w:rsid w:val="00E40F54"/>
    <w:rsid w:val="00E41EAA"/>
    <w:rsid w:val="00E4221C"/>
    <w:rsid w:val="00E42AAA"/>
    <w:rsid w:val="00E45C51"/>
    <w:rsid w:val="00E46D70"/>
    <w:rsid w:val="00E47BDF"/>
    <w:rsid w:val="00E51CD6"/>
    <w:rsid w:val="00E51D58"/>
    <w:rsid w:val="00E526C4"/>
    <w:rsid w:val="00E54D3C"/>
    <w:rsid w:val="00E55746"/>
    <w:rsid w:val="00E56584"/>
    <w:rsid w:val="00E566F9"/>
    <w:rsid w:val="00E56BE5"/>
    <w:rsid w:val="00E57AB3"/>
    <w:rsid w:val="00E57DD4"/>
    <w:rsid w:val="00E62779"/>
    <w:rsid w:val="00E62B54"/>
    <w:rsid w:val="00E639B7"/>
    <w:rsid w:val="00E650AC"/>
    <w:rsid w:val="00E65860"/>
    <w:rsid w:val="00E65DF9"/>
    <w:rsid w:val="00E6617F"/>
    <w:rsid w:val="00E6657B"/>
    <w:rsid w:val="00E6687A"/>
    <w:rsid w:val="00E66AEF"/>
    <w:rsid w:val="00E6723C"/>
    <w:rsid w:val="00E702B6"/>
    <w:rsid w:val="00E71934"/>
    <w:rsid w:val="00E72109"/>
    <w:rsid w:val="00E7276B"/>
    <w:rsid w:val="00E72DF9"/>
    <w:rsid w:val="00E76396"/>
    <w:rsid w:val="00E7768E"/>
    <w:rsid w:val="00E80A72"/>
    <w:rsid w:val="00E81B4C"/>
    <w:rsid w:val="00E82513"/>
    <w:rsid w:val="00E82954"/>
    <w:rsid w:val="00E84043"/>
    <w:rsid w:val="00E84A85"/>
    <w:rsid w:val="00E854AF"/>
    <w:rsid w:val="00E85CC0"/>
    <w:rsid w:val="00E86728"/>
    <w:rsid w:val="00E86B7F"/>
    <w:rsid w:val="00E90255"/>
    <w:rsid w:val="00E90D12"/>
    <w:rsid w:val="00E92053"/>
    <w:rsid w:val="00E93437"/>
    <w:rsid w:val="00E93C7D"/>
    <w:rsid w:val="00E9589E"/>
    <w:rsid w:val="00E95D2D"/>
    <w:rsid w:val="00E9700B"/>
    <w:rsid w:val="00E97E87"/>
    <w:rsid w:val="00EA2B9F"/>
    <w:rsid w:val="00EA3373"/>
    <w:rsid w:val="00EA3A2E"/>
    <w:rsid w:val="00EA3A62"/>
    <w:rsid w:val="00EA51A4"/>
    <w:rsid w:val="00EA5B0C"/>
    <w:rsid w:val="00EB1CD5"/>
    <w:rsid w:val="00EB246D"/>
    <w:rsid w:val="00EB2E7B"/>
    <w:rsid w:val="00EB4291"/>
    <w:rsid w:val="00EB48CD"/>
    <w:rsid w:val="00EB4CE5"/>
    <w:rsid w:val="00EB6B5B"/>
    <w:rsid w:val="00EB71B6"/>
    <w:rsid w:val="00EB7591"/>
    <w:rsid w:val="00EC0B4F"/>
    <w:rsid w:val="00EC260B"/>
    <w:rsid w:val="00EC4E5B"/>
    <w:rsid w:val="00EC68B3"/>
    <w:rsid w:val="00EC6AB5"/>
    <w:rsid w:val="00EC780F"/>
    <w:rsid w:val="00ED0FFB"/>
    <w:rsid w:val="00ED1106"/>
    <w:rsid w:val="00ED1707"/>
    <w:rsid w:val="00ED19B7"/>
    <w:rsid w:val="00ED1BED"/>
    <w:rsid w:val="00ED1E2A"/>
    <w:rsid w:val="00ED238E"/>
    <w:rsid w:val="00ED2BF9"/>
    <w:rsid w:val="00ED3789"/>
    <w:rsid w:val="00ED38D6"/>
    <w:rsid w:val="00ED39C7"/>
    <w:rsid w:val="00ED5327"/>
    <w:rsid w:val="00ED5C5E"/>
    <w:rsid w:val="00ED6BDA"/>
    <w:rsid w:val="00ED72CB"/>
    <w:rsid w:val="00EE0DDD"/>
    <w:rsid w:val="00EE542E"/>
    <w:rsid w:val="00EE5C4F"/>
    <w:rsid w:val="00EE7851"/>
    <w:rsid w:val="00EE7B74"/>
    <w:rsid w:val="00EF01B7"/>
    <w:rsid w:val="00EF3D8C"/>
    <w:rsid w:val="00EF4BF3"/>
    <w:rsid w:val="00EF6245"/>
    <w:rsid w:val="00EF7B7B"/>
    <w:rsid w:val="00F0091A"/>
    <w:rsid w:val="00F03007"/>
    <w:rsid w:val="00F03049"/>
    <w:rsid w:val="00F04011"/>
    <w:rsid w:val="00F04196"/>
    <w:rsid w:val="00F04ED4"/>
    <w:rsid w:val="00F05B24"/>
    <w:rsid w:val="00F065FB"/>
    <w:rsid w:val="00F07632"/>
    <w:rsid w:val="00F104DE"/>
    <w:rsid w:val="00F11013"/>
    <w:rsid w:val="00F14290"/>
    <w:rsid w:val="00F148C4"/>
    <w:rsid w:val="00F15515"/>
    <w:rsid w:val="00F15C6F"/>
    <w:rsid w:val="00F16206"/>
    <w:rsid w:val="00F20C8E"/>
    <w:rsid w:val="00F210F9"/>
    <w:rsid w:val="00F21613"/>
    <w:rsid w:val="00F222CA"/>
    <w:rsid w:val="00F22A04"/>
    <w:rsid w:val="00F22B0A"/>
    <w:rsid w:val="00F2322D"/>
    <w:rsid w:val="00F2404C"/>
    <w:rsid w:val="00F2529C"/>
    <w:rsid w:val="00F2671B"/>
    <w:rsid w:val="00F26AF2"/>
    <w:rsid w:val="00F27164"/>
    <w:rsid w:val="00F27C2E"/>
    <w:rsid w:val="00F27DBE"/>
    <w:rsid w:val="00F31651"/>
    <w:rsid w:val="00F32E82"/>
    <w:rsid w:val="00F32FE2"/>
    <w:rsid w:val="00F347C4"/>
    <w:rsid w:val="00F35A49"/>
    <w:rsid w:val="00F363E8"/>
    <w:rsid w:val="00F366A3"/>
    <w:rsid w:val="00F379A2"/>
    <w:rsid w:val="00F37C26"/>
    <w:rsid w:val="00F37E50"/>
    <w:rsid w:val="00F40078"/>
    <w:rsid w:val="00F40B71"/>
    <w:rsid w:val="00F4318A"/>
    <w:rsid w:val="00F438BE"/>
    <w:rsid w:val="00F438C4"/>
    <w:rsid w:val="00F43E0C"/>
    <w:rsid w:val="00F4433D"/>
    <w:rsid w:val="00F447FD"/>
    <w:rsid w:val="00F450AB"/>
    <w:rsid w:val="00F46F3F"/>
    <w:rsid w:val="00F478C4"/>
    <w:rsid w:val="00F47A7E"/>
    <w:rsid w:val="00F50960"/>
    <w:rsid w:val="00F50F89"/>
    <w:rsid w:val="00F5336B"/>
    <w:rsid w:val="00F53BED"/>
    <w:rsid w:val="00F54675"/>
    <w:rsid w:val="00F54776"/>
    <w:rsid w:val="00F54E5A"/>
    <w:rsid w:val="00F553FA"/>
    <w:rsid w:val="00F55987"/>
    <w:rsid w:val="00F5663A"/>
    <w:rsid w:val="00F56CFB"/>
    <w:rsid w:val="00F60993"/>
    <w:rsid w:val="00F60E7F"/>
    <w:rsid w:val="00F61B67"/>
    <w:rsid w:val="00F61C33"/>
    <w:rsid w:val="00F622AB"/>
    <w:rsid w:val="00F6258D"/>
    <w:rsid w:val="00F63850"/>
    <w:rsid w:val="00F6389B"/>
    <w:rsid w:val="00F63DBC"/>
    <w:rsid w:val="00F66DC3"/>
    <w:rsid w:val="00F66EE5"/>
    <w:rsid w:val="00F67623"/>
    <w:rsid w:val="00F70A08"/>
    <w:rsid w:val="00F73C52"/>
    <w:rsid w:val="00F75831"/>
    <w:rsid w:val="00F7750B"/>
    <w:rsid w:val="00F806FE"/>
    <w:rsid w:val="00F814CD"/>
    <w:rsid w:val="00F8167A"/>
    <w:rsid w:val="00F81BCC"/>
    <w:rsid w:val="00F81D4E"/>
    <w:rsid w:val="00F81D9F"/>
    <w:rsid w:val="00F82DE6"/>
    <w:rsid w:val="00F83BF6"/>
    <w:rsid w:val="00F8644B"/>
    <w:rsid w:val="00F86899"/>
    <w:rsid w:val="00F86B4C"/>
    <w:rsid w:val="00F908DA"/>
    <w:rsid w:val="00F91BEA"/>
    <w:rsid w:val="00F92015"/>
    <w:rsid w:val="00F9465A"/>
    <w:rsid w:val="00F94C9F"/>
    <w:rsid w:val="00F9503E"/>
    <w:rsid w:val="00F95858"/>
    <w:rsid w:val="00F95B6B"/>
    <w:rsid w:val="00F95C3D"/>
    <w:rsid w:val="00F95C7F"/>
    <w:rsid w:val="00F95CFF"/>
    <w:rsid w:val="00F95D41"/>
    <w:rsid w:val="00F9669C"/>
    <w:rsid w:val="00F967C7"/>
    <w:rsid w:val="00F96DD7"/>
    <w:rsid w:val="00F975B4"/>
    <w:rsid w:val="00FA1816"/>
    <w:rsid w:val="00FA2372"/>
    <w:rsid w:val="00FA2453"/>
    <w:rsid w:val="00FA4418"/>
    <w:rsid w:val="00FA452E"/>
    <w:rsid w:val="00FA6BB8"/>
    <w:rsid w:val="00FB0599"/>
    <w:rsid w:val="00FB2D07"/>
    <w:rsid w:val="00FB67A2"/>
    <w:rsid w:val="00FC0B4C"/>
    <w:rsid w:val="00FC273E"/>
    <w:rsid w:val="00FC4543"/>
    <w:rsid w:val="00FC62A7"/>
    <w:rsid w:val="00FC7128"/>
    <w:rsid w:val="00FC7538"/>
    <w:rsid w:val="00FC7AE7"/>
    <w:rsid w:val="00FD0643"/>
    <w:rsid w:val="00FD0D5C"/>
    <w:rsid w:val="00FD152F"/>
    <w:rsid w:val="00FD1D44"/>
    <w:rsid w:val="00FD1E6E"/>
    <w:rsid w:val="00FD3C62"/>
    <w:rsid w:val="00FD3CC6"/>
    <w:rsid w:val="00FD50A1"/>
    <w:rsid w:val="00FD5266"/>
    <w:rsid w:val="00FD6431"/>
    <w:rsid w:val="00FD7775"/>
    <w:rsid w:val="00FE03DA"/>
    <w:rsid w:val="00FE045B"/>
    <w:rsid w:val="00FE07B4"/>
    <w:rsid w:val="00FE36A4"/>
    <w:rsid w:val="00FE4C2E"/>
    <w:rsid w:val="00FE5294"/>
    <w:rsid w:val="00FF0077"/>
    <w:rsid w:val="00FF10A9"/>
    <w:rsid w:val="00FF1E5A"/>
    <w:rsid w:val="00FF444B"/>
    <w:rsid w:val="00FF447A"/>
    <w:rsid w:val="00FF4847"/>
    <w:rsid w:val="00FF4A44"/>
    <w:rsid w:val="00FF5777"/>
    <w:rsid w:val="00FF7237"/>
    <w:rsid w:val="01011597"/>
    <w:rsid w:val="0102046F"/>
    <w:rsid w:val="01025F15"/>
    <w:rsid w:val="01042B07"/>
    <w:rsid w:val="01115404"/>
    <w:rsid w:val="011303C7"/>
    <w:rsid w:val="0114045D"/>
    <w:rsid w:val="01172FBA"/>
    <w:rsid w:val="01200BEC"/>
    <w:rsid w:val="0123086F"/>
    <w:rsid w:val="012349F4"/>
    <w:rsid w:val="012649BA"/>
    <w:rsid w:val="01283F45"/>
    <w:rsid w:val="012D6FD9"/>
    <w:rsid w:val="012F62AF"/>
    <w:rsid w:val="013513E8"/>
    <w:rsid w:val="013822D2"/>
    <w:rsid w:val="01422852"/>
    <w:rsid w:val="014D2C56"/>
    <w:rsid w:val="014D3081"/>
    <w:rsid w:val="01512C79"/>
    <w:rsid w:val="015A7BD6"/>
    <w:rsid w:val="015B5275"/>
    <w:rsid w:val="015C7446"/>
    <w:rsid w:val="0160298A"/>
    <w:rsid w:val="01626396"/>
    <w:rsid w:val="01664665"/>
    <w:rsid w:val="01674E80"/>
    <w:rsid w:val="01676A43"/>
    <w:rsid w:val="016C2419"/>
    <w:rsid w:val="01716A09"/>
    <w:rsid w:val="01723D99"/>
    <w:rsid w:val="017B7899"/>
    <w:rsid w:val="01893B35"/>
    <w:rsid w:val="01946542"/>
    <w:rsid w:val="01970360"/>
    <w:rsid w:val="01972A75"/>
    <w:rsid w:val="019825B9"/>
    <w:rsid w:val="01985098"/>
    <w:rsid w:val="019A1CC9"/>
    <w:rsid w:val="019B4F18"/>
    <w:rsid w:val="01A0106C"/>
    <w:rsid w:val="01A50706"/>
    <w:rsid w:val="01A75F1C"/>
    <w:rsid w:val="01AB0725"/>
    <w:rsid w:val="01AF14C7"/>
    <w:rsid w:val="01B63F9F"/>
    <w:rsid w:val="01B76E69"/>
    <w:rsid w:val="01B87E30"/>
    <w:rsid w:val="01BB5859"/>
    <w:rsid w:val="01C4356A"/>
    <w:rsid w:val="01C64804"/>
    <w:rsid w:val="01D225F8"/>
    <w:rsid w:val="01D31CE1"/>
    <w:rsid w:val="01DB1C83"/>
    <w:rsid w:val="01DB7580"/>
    <w:rsid w:val="01E124D1"/>
    <w:rsid w:val="01E1688E"/>
    <w:rsid w:val="01EA66CC"/>
    <w:rsid w:val="01ED0E31"/>
    <w:rsid w:val="01F07EE9"/>
    <w:rsid w:val="01F138C9"/>
    <w:rsid w:val="01F21E62"/>
    <w:rsid w:val="01FB2A54"/>
    <w:rsid w:val="020738F9"/>
    <w:rsid w:val="021107F1"/>
    <w:rsid w:val="021136B8"/>
    <w:rsid w:val="02231B46"/>
    <w:rsid w:val="022A7B7E"/>
    <w:rsid w:val="022E59DF"/>
    <w:rsid w:val="02320AC7"/>
    <w:rsid w:val="02326F79"/>
    <w:rsid w:val="023C273E"/>
    <w:rsid w:val="024968A5"/>
    <w:rsid w:val="02544CAE"/>
    <w:rsid w:val="025B54DB"/>
    <w:rsid w:val="025F16E8"/>
    <w:rsid w:val="02614CD6"/>
    <w:rsid w:val="026A4BB2"/>
    <w:rsid w:val="027C177F"/>
    <w:rsid w:val="02884D59"/>
    <w:rsid w:val="02996F8F"/>
    <w:rsid w:val="02A30A92"/>
    <w:rsid w:val="02A37CDF"/>
    <w:rsid w:val="02A70FBF"/>
    <w:rsid w:val="02A93FED"/>
    <w:rsid w:val="02AD71A7"/>
    <w:rsid w:val="02B00CEE"/>
    <w:rsid w:val="02BA044F"/>
    <w:rsid w:val="02BC39C3"/>
    <w:rsid w:val="02BD10BA"/>
    <w:rsid w:val="02BF647E"/>
    <w:rsid w:val="02C13F15"/>
    <w:rsid w:val="02D06976"/>
    <w:rsid w:val="02D738BA"/>
    <w:rsid w:val="02DC3D4C"/>
    <w:rsid w:val="02DF2736"/>
    <w:rsid w:val="02E0756A"/>
    <w:rsid w:val="02E16251"/>
    <w:rsid w:val="02E5169B"/>
    <w:rsid w:val="02E5230D"/>
    <w:rsid w:val="02E935EF"/>
    <w:rsid w:val="02EA73AC"/>
    <w:rsid w:val="02F862C3"/>
    <w:rsid w:val="03007DCB"/>
    <w:rsid w:val="03021368"/>
    <w:rsid w:val="030646CB"/>
    <w:rsid w:val="03065DC3"/>
    <w:rsid w:val="030D6843"/>
    <w:rsid w:val="031421DE"/>
    <w:rsid w:val="0318471E"/>
    <w:rsid w:val="0322661A"/>
    <w:rsid w:val="03234442"/>
    <w:rsid w:val="03275641"/>
    <w:rsid w:val="032B7D25"/>
    <w:rsid w:val="032D1D1F"/>
    <w:rsid w:val="032D7B8C"/>
    <w:rsid w:val="032E7144"/>
    <w:rsid w:val="03322479"/>
    <w:rsid w:val="03375EE0"/>
    <w:rsid w:val="033D77D1"/>
    <w:rsid w:val="03432FC4"/>
    <w:rsid w:val="034C4969"/>
    <w:rsid w:val="034D797D"/>
    <w:rsid w:val="034E0CB8"/>
    <w:rsid w:val="034E3750"/>
    <w:rsid w:val="034E4741"/>
    <w:rsid w:val="03542751"/>
    <w:rsid w:val="035A242D"/>
    <w:rsid w:val="035B6AA7"/>
    <w:rsid w:val="03601146"/>
    <w:rsid w:val="03621D96"/>
    <w:rsid w:val="036844CD"/>
    <w:rsid w:val="037044DC"/>
    <w:rsid w:val="03780D31"/>
    <w:rsid w:val="037F5984"/>
    <w:rsid w:val="03855974"/>
    <w:rsid w:val="038974B8"/>
    <w:rsid w:val="038B2236"/>
    <w:rsid w:val="038B7C13"/>
    <w:rsid w:val="038E7149"/>
    <w:rsid w:val="038F0733"/>
    <w:rsid w:val="038F451A"/>
    <w:rsid w:val="03920475"/>
    <w:rsid w:val="039841BB"/>
    <w:rsid w:val="039966DB"/>
    <w:rsid w:val="039D10C6"/>
    <w:rsid w:val="03A27850"/>
    <w:rsid w:val="03A600BE"/>
    <w:rsid w:val="03A975D9"/>
    <w:rsid w:val="03AD2444"/>
    <w:rsid w:val="03AF207F"/>
    <w:rsid w:val="03B1020E"/>
    <w:rsid w:val="03B248FB"/>
    <w:rsid w:val="03B26332"/>
    <w:rsid w:val="03BC5F30"/>
    <w:rsid w:val="03C04374"/>
    <w:rsid w:val="03C0571B"/>
    <w:rsid w:val="03C17149"/>
    <w:rsid w:val="03C313F5"/>
    <w:rsid w:val="03C9203A"/>
    <w:rsid w:val="03D0123A"/>
    <w:rsid w:val="03D86267"/>
    <w:rsid w:val="03DE172C"/>
    <w:rsid w:val="03E1247F"/>
    <w:rsid w:val="03E24F3A"/>
    <w:rsid w:val="03E320AF"/>
    <w:rsid w:val="03F0147D"/>
    <w:rsid w:val="03F73E93"/>
    <w:rsid w:val="03F91C4B"/>
    <w:rsid w:val="040A7DA4"/>
    <w:rsid w:val="040B2B9A"/>
    <w:rsid w:val="040F60F1"/>
    <w:rsid w:val="041316A9"/>
    <w:rsid w:val="0414357D"/>
    <w:rsid w:val="04154C7A"/>
    <w:rsid w:val="041F05F1"/>
    <w:rsid w:val="042634B4"/>
    <w:rsid w:val="04353490"/>
    <w:rsid w:val="043B16FD"/>
    <w:rsid w:val="043F138A"/>
    <w:rsid w:val="044356DA"/>
    <w:rsid w:val="044B1858"/>
    <w:rsid w:val="044D0123"/>
    <w:rsid w:val="04514C88"/>
    <w:rsid w:val="04515295"/>
    <w:rsid w:val="045A3C1B"/>
    <w:rsid w:val="045B36DA"/>
    <w:rsid w:val="045C42C0"/>
    <w:rsid w:val="045C778A"/>
    <w:rsid w:val="0461339C"/>
    <w:rsid w:val="04627993"/>
    <w:rsid w:val="04633CB8"/>
    <w:rsid w:val="046F7695"/>
    <w:rsid w:val="04702865"/>
    <w:rsid w:val="047334C9"/>
    <w:rsid w:val="04794ABB"/>
    <w:rsid w:val="047B723A"/>
    <w:rsid w:val="04843352"/>
    <w:rsid w:val="04860CA5"/>
    <w:rsid w:val="048719DE"/>
    <w:rsid w:val="048919CC"/>
    <w:rsid w:val="048A1E45"/>
    <w:rsid w:val="048E0CC6"/>
    <w:rsid w:val="048E7292"/>
    <w:rsid w:val="048F23F7"/>
    <w:rsid w:val="04952170"/>
    <w:rsid w:val="04995CE1"/>
    <w:rsid w:val="049A0BF7"/>
    <w:rsid w:val="049A1C63"/>
    <w:rsid w:val="04A91C75"/>
    <w:rsid w:val="04AB478E"/>
    <w:rsid w:val="04B7152E"/>
    <w:rsid w:val="04BA712E"/>
    <w:rsid w:val="04C01DF8"/>
    <w:rsid w:val="04CE17F5"/>
    <w:rsid w:val="04D95452"/>
    <w:rsid w:val="04E008F4"/>
    <w:rsid w:val="04E05E80"/>
    <w:rsid w:val="04E07A3F"/>
    <w:rsid w:val="04E15C76"/>
    <w:rsid w:val="04E3125A"/>
    <w:rsid w:val="04E31F2D"/>
    <w:rsid w:val="04EF3DD8"/>
    <w:rsid w:val="04EF5F12"/>
    <w:rsid w:val="04F02944"/>
    <w:rsid w:val="04F126BD"/>
    <w:rsid w:val="04F176CB"/>
    <w:rsid w:val="04F31D2B"/>
    <w:rsid w:val="04F42E26"/>
    <w:rsid w:val="04F46E33"/>
    <w:rsid w:val="04F64971"/>
    <w:rsid w:val="04FE35DE"/>
    <w:rsid w:val="050304C8"/>
    <w:rsid w:val="050578C6"/>
    <w:rsid w:val="05090F1B"/>
    <w:rsid w:val="0509331A"/>
    <w:rsid w:val="05093B61"/>
    <w:rsid w:val="05105E14"/>
    <w:rsid w:val="051B150F"/>
    <w:rsid w:val="052241CE"/>
    <w:rsid w:val="05295ACE"/>
    <w:rsid w:val="052A076C"/>
    <w:rsid w:val="052B476D"/>
    <w:rsid w:val="052F4ABF"/>
    <w:rsid w:val="053C4582"/>
    <w:rsid w:val="054407B3"/>
    <w:rsid w:val="05512318"/>
    <w:rsid w:val="0556440A"/>
    <w:rsid w:val="05571AD8"/>
    <w:rsid w:val="055C18C1"/>
    <w:rsid w:val="05612F88"/>
    <w:rsid w:val="056C7A31"/>
    <w:rsid w:val="05700033"/>
    <w:rsid w:val="05710C6F"/>
    <w:rsid w:val="0575090D"/>
    <w:rsid w:val="05797075"/>
    <w:rsid w:val="05836045"/>
    <w:rsid w:val="058604CE"/>
    <w:rsid w:val="058712DC"/>
    <w:rsid w:val="05885740"/>
    <w:rsid w:val="058A4A89"/>
    <w:rsid w:val="0592185B"/>
    <w:rsid w:val="05956C35"/>
    <w:rsid w:val="05A069D5"/>
    <w:rsid w:val="05A14E78"/>
    <w:rsid w:val="05AA69C1"/>
    <w:rsid w:val="05AD02CC"/>
    <w:rsid w:val="05AF3D8E"/>
    <w:rsid w:val="05AF6F7F"/>
    <w:rsid w:val="05B239EF"/>
    <w:rsid w:val="05B710CD"/>
    <w:rsid w:val="05B71AF1"/>
    <w:rsid w:val="05C1351A"/>
    <w:rsid w:val="05C3773B"/>
    <w:rsid w:val="05CE14C8"/>
    <w:rsid w:val="05D021FD"/>
    <w:rsid w:val="05D134D3"/>
    <w:rsid w:val="05D374B9"/>
    <w:rsid w:val="05D66305"/>
    <w:rsid w:val="05DF6A9E"/>
    <w:rsid w:val="05E173DB"/>
    <w:rsid w:val="05FC763B"/>
    <w:rsid w:val="06024B97"/>
    <w:rsid w:val="06096E80"/>
    <w:rsid w:val="060B1683"/>
    <w:rsid w:val="060D4B35"/>
    <w:rsid w:val="060F3057"/>
    <w:rsid w:val="06153601"/>
    <w:rsid w:val="06173172"/>
    <w:rsid w:val="061D3E1B"/>
    <w:rsid w:val="061F36F6"/>
    <w:rsid w:val="06221498"/>
    <w:rsid w:val="06264D3D"/>
    <w:rsid w:val="062A56E8"/>
    <w:rsid w:val="062E4A63"/>
    <w:rsid w:val="063419C5"/>
    <w:rsid w:val="06387581"/>
    <w:rsid w:val="063C54D8"/>
    <w:rsid w:val="06461BB4"/>
    <w:rsid w:val="06465A16"/>
    <w:rsid w:val="064A6F93"/>
    <w:rsid w:val="064C1473"/>
    <w:rsid w:val="064E2765"/>
    <w:rsid w:val="0662670C"/>
    <w:rsid w:val="066354F2"/>
    <w:rsid w:val="06642B7F"/>
    <w:rsid w:val="066B4116"/>
    <w:rsid w:val="066C62AC"/>
    <w:rsid w:val="06731B2B"/>
    <w:rsid w:val="067532B7"/>
    <w:rsid w:val="06780FED"/>
    <w:rsid w:val="067A6114"/>
    <w:rsid w:val="067B7C3F"/>
    <w:rsid w:val="06844053"/>
    <w:rsid w:val="06881A12"/>
    <w:rsid w:val="06887F12"/>
    <w:rsid w:val="06894E56"/>
    <w:rsid w:val="06906F27"/>
    <w:rsid w:val="06911206"/>
    <w:rsid w:val="06953909"/>
    <w:rsid w:val="06956405"/>
    <w:rsid w:val="069D2688"/>
    <w:rsid w:val="06A048D5"/>
    <w:rsid w:val="06A74D65"/>
    <w:rsid w:val="06AD2904"/>
    <w:rsid w:val="06AF461F"/>
    <w:rsid w:val="06B5144A"/>
    <w:rsid w:val="06B91AEE"/>
    <w:rsid w:val="06C67E5B"/>
    <w:rsid w:val="06CD1A20"/>
    <w:rsid w:val="06CD5367"/>
    <w:rsid w:val="06D16D90"/>
    <w:rsid w:val="06D22FC7"/>
    <w:rsid w:val="06DD7CA1"/>
    <w:rsid w:val="06E4071A"/>
    <w:rsid w:val="06EC774C"/>
    <w:rsid w:val="06F131FA"/>
    <w:rsid w:val="06F50588"/>
    <w:rsid w:val="06F621B6"/>
    <w:rsid w:val="06FC0608"/>
    <w:rsid w:val="06FC19D0"/>
    <w:rsid w:val="07032737"/>
    <w:rsid w:val="0707612A"/>
    <w:rsid w:val="070F3756"/>
    <w:rsid w:val="07106DCB"/>
    <w:rsid w:val="07133BD6"/>
    <w:rsid w:val="0714356E"/>
    <w:rsid w:val="071535BA"/>
    <w:rsid w:val="0719457E"/>
    <w:rsid w:val="071D37CB"/>
    <w:rsid w:val="07282A88"/>
    <w:rsid w:val="072854B0"/>
    <w:rsid w:val="072D338D"/>
    <w:rsid w:val="072E4440"/>
    <w:rsid w:val="073B11D7"/>
    <w:rsid w:val="07456CFE"/>
    <w:rsid w:val="074B04EF"/>
    <w:rsid w:val="074B307E"/>
    <w:rsid w:val="074D4162"/>
    <w:rsid w:val="074F15BC"/>
    <w:rsid w:val="07501A8E"/>
    <w:rsid w:val="075669A7"/>
    <w:rsid w:val="07573E7C"/>
    <w:rsid w:val="075B3DEA"/>
    <w:rsid w:val="075D21DA"/>
    <w:rsid w:val="0765267A"/>
    <w:rsid w:val="077039EC"/>
    <w:rsid w:val="07711281"/>
    <w:rsid w:val="0774673A"/>
    <w:rsid w:val="077619B4"/>
    <w:rsid w:val="077B6F30"/>
    <w:rsid w:val="07844494"/>
    <w:rsid w:val="07847B8F"/>
    <w:rsid w:val="0787520C"/>
    <w:rsid w:val="078D759A"/>
    <w:rsid w:val="07930B75"/>
    <w:rsid w:val="07956C43"/>
    <w:rsid w:val="0797790C"/>
    <w:rsid w:val="079E7E56"/>
    <w:rsid w:val="079F5B32"/>
    <w:rsid w:val="07B535AB"/>
    <w:rsid w:val="07B87AC5"/>
    <w:rsid w:val="07C125EE"/>
    <w:rsid w:val="07C84F56"/>
    <w:rsid w:val="07CC1D62"/>
    <w:rsid w:val="07CE1963"/>
    <w:rsid w:val="07D339C6"/>
    <w:rsid w:val="07D87C86"/>
    <w:rsid w:val="07DE7EAC"/>
    <w:rsid w:val="07E57814"/>
    <w:rsid w:val="07EA57CF"/>
    <w:rsid w:val="07EF2541"/>
    <w:rsid w:val="07F43980"/>
    <w:rsid w:val="07F86AF5"/>
    <w:rsid w:val="07F92FCF"/>
    <w:rsid w:val="07FD14C6"/>
    <w:rsid w:val="080A3536"/>
    <w:rsid w:val="080B4772"/>
    <w:rsid w:val="080F1793"/>
    <w:rsid w:val="080F658F"/>
    <w:rsid w:val="0815371F"/>
    <w:rsid w:val="08194C55"/>
    <w:rsid w:val="082231F6"/>
    <w:rsid w:val="082437D6"/>
    <w:rsid w:val="082836C5"/>
    <w:rsid w:val="08290E03"/>
    <w:rsid w:val="082B65DB"/>
    <w:rsid w:val="082C700C"/>
    <w:rsid w:val="08320AA4"/>
    <w:rsid w:val="08345C4E"/>
    <w:rsid w:val="083950B2"/>
    <w:rsid w:val="083E2B7F"/>
    <w:rsid w:val="08444445"/>
    <w:rsid w:val="08451CDC"/>
    <w:rsid w:val="084A44D3"/>
    <w:rsid w:val="084E1527"/>
    <w:rsid w:val="08510056"/>
    <w:rsid w:val="08513F9E"/>
    <w:rsid w:val="0853048C"/>
    <w:rsid w:val="08542283"/>
    <w:rsid w:val="085709F7"/>
    <w:rsid w:val="08577072"/>
    <w:rsid w:val="085A70E5"/>
    <w:rsid w:val="086275B4"/>
    <w:rsid w:val="08701C18"/>
    <w:rsid w:val="087050FC"/>
    <w:rsid w:val="08745791"/>
    <w:rsid w:val="08760207"/>
    <w:rsid w:val="087654DC"/>
    <w:rsid w:val="08772D83"/>
    <w:rsid w:val="087764B3"/>
    <w:rsid w:val="08810633"/>
    <w:rsid w:val="08824019"/>
    <w:rsid w:val="08884DF8"/>
    <w:rsid w:val="088A5A04"/>
    <w:rsid w:val="088B52F4"/>
    <w:rsid w:val="088F1DCA"/>
    <w:rsid w:val="089A5A53"/>
    <w:rsid w:val="089E6F15"/>
    <w:rsid w:val="08A00B1A"/>
    <w:rsid w:val="08A11DE8"/>
    <w:rsid w:val="08A676B1"/>
    <w:rsid w:val="08A826C4"/>
    <w:rsid w:val="08B91461"/>
    <w:rsid w:val="08BD2673"/>
    <w:rsid w:val="08C44272"/>
    <w:rsid w:val="08C70003"/>
    <w:rsid w:val="08C706F1"/>
    <w:rsid w:val="08CC24E4"/>
    <w:rsid w:val="08CE0648"/>
    <w:rsid w:val="08CE7B45"/>
    <w:rsid w:val="08D43A79"/>
    <w:rsid w:val="08D44187"/>
    <w:rsid w:val="08DD4B76"/>
    <w:rsid w:val="08EB1BE3"/>
    <w:rsid w:val="08F4006D"/>
    <w:rsid w:val="08F73AE2"/>
    <w:rsid w:val="09027488"/>
    <w:rsid w:val="09133F86"/>
    <w:rsid w:val="09175523"/>
    <w:rsid w:val="0919373E"/>
    <w:rsid w:val="09256C88"/>
    <w:rsid w:val="092F6A31"/>
    <w:rsid w:val="093002D4"/>
    <w:rsid w:val="09301A44"/>
    <w:rsid w:val="09326FBE"/>
    <w:rsid w:val="09334619"/>
    <w:rsid w:val="09353CA5"/>
    <w:rsid w:val="0938335C"/>
    <w:rsid w:val="093B0A60"/>
    <w:rsid w:val="09474B36"/>
    <w:rsid w:val="09481497"/>
    <w:rsid w:val="0948186B"/>
    <w:rsid w:val="09482DF3"/>
    <w:rsid w:val="094B261A"/>
    <w:rsid w:val="095C738E"/>
    <w:rsid w:val="095F2AC2"/>
    <w:rsid w:val="095F3645"/>
    <w:rsid w:val="096576D2"/>
    <w:rsid w:val="09683B40"/>
    <w:rsid w:val="096A4514"/>
    <w:rsid w:val="096F0B2D"/>
    <w:rsid w:val="09710D0B"/>
    <w:rsid w:val="09721875"/>
    <w:rsid w:val="0972674F"/>
    <w:rsid w:val="09770AAD"/>
    <w:rsid w:val="09774E7B"/>
    <w:rsid w:val="097A2BBA"/>
    <w:rsid w:val="097A5859"/>
    <w:rsid w:val="097B6A76"/>
    <w:rsid w:val="098C3995"/>
    <w:rsid w:val="098D1C74"/>
    <w:rsid w:val="098F0367"/>
    <w:rsid w:val="09917DF0"/>
    <w:rsid w:val="09990C16"/>
    <w:rsid w:val="099D51C4"/>
    <w:rsid w:val="099F4676"/>
    <w:rsid w:val="09A54F08"/>
    <w:rsid w:val="09A61FE3"/>
    <w:rsid w:val="09AC2A2C"/>
    <w:rsid w:val="09AD56B4"/>
    <w:rsid w:val="09AF4089"/>
    <w:rsid w:val="09B25004"/>
    <w:rsid w:val="09B423BE"/>
    <w:rsid w:val="09B8071E"/>
    <w:rsid w:val="09B86E68"/>
    <w:rsid w:val="09BC5FBE"/>
    <w:rsid w:val="09BD0BE1"/>
    <w:rsid w:val="09C62EAC"/>
    <w:rsid w:val="09C94421"/>
    <w:rsid w:val="09CD4DB7"/>
    <w:rsid w:val="09CE5CF8"/>
    <w:rsid w:val="09D50DD2"/>
    <w:rsid w:val="09E10E50"/>
    <w:rsid w:val="09E222C9"/>
    <w:rsid w:val="09ED232B"/>
    <w:rsid w:val="09EF269F"/>
    <w:rsid w:val="09F2415C"/>
    <w:rsid w:val="09F46955"/>
    <w:rsid w:val="09F566B3"/>
    <w:rsid w:val="09F901A0"/>
    <w:rsid w:val="09FE128B"/>
    <w:rsid w:val="09FE4B04"/>
    <w:rsid w:val="0A025641"/>
    <w:rsid w:val="0A0F6EB6"/>
    <w:rsid w:val="0A130918"/>
    <w:rsid w:val="0A1604DF"/>
    <w:rsid w:val="0A167A2D"/>
    <w:rsid w:val="0A184851"/>
    <w:rsid w:val="0A1D0BFF"/>
    <w:rsid w:val="0A2064CC"/>
    <w:rsid w:val="0A224573"/>
    <w:rsid w:val="0A2861FF"/>
    <w:rsid w:val="0A2D016C"/>
    <w:rsid w:val="0A2D67CC"/>
    <w:rsid w:val="0A307C66"/>
    <w:rsid w:val="0A33125B"/>
    <w:rsid w:val="0A352325"/>
    <w:rsid w:val="0A3B233C"/>
    <w:rsid w:val="0A3B6C00"/>
    <w:rsid w:val="0A3C160B"/>
    <w:rsid w:val="0A3C43D2"/>
    <w:rsid w:val="0A3D5D6F"/>
    <w:rsid w:val="0A407C21"/>
    <w:rsid w:val="0A426EFC"/>
    <w:rsid w:val="0A4365ED"/>
    <w:rsid w:val="0A44634E"/>
    <w:rsid w:val="0A491EE2"/>
    <w:rsid w:val="0A5565F1"/>
    <w:rsid w:val="0A5C0A63"/>
    <w:rsid w:val="0A5D3336"/>
    <w:rsid w:val="0A5E1EE0"/>
    <w:rsid w:val="0A6C1E2F"/>
    <w:rsid w:val="0A6C34C5"/>
    <w:rsid w:val="0A6E32FD"/>
    <w:rsid w:val="0A794A90"/>
    <w:rsid w:val="0A7B20F0"/>
    <w:rsid w:val="0A80077E"/>
    <w:rsid w:val="0A891896"/>
    <w:rsid w:val="0A8F43E4"/>
    <w:rsid w:val="0A922802"/>
    <w:rsid w:val="0A9559B3"/>
    <w:rsid w:val="0A9C1D94"/>
    <w:rsid w:val="0AA0687D"/>
    <w:rsid w:val="0AA06FF3"/>
    <w:rsid w:val="0AA7047C"/>
    <w:rsid w:val="0AAB1EF5"/>
    <w:rsid w:val="0AB46979"/>
    <w:rsid w:val="0AB60FA0"/>
    <w:rsid w:val="0ABB080F"/>
    <w:rsid w:val="0AC265AE"/>
    <w:rsid w:val="0AC26B1B"/>
    <w:rsid w:val="0AC90EA0"/>
    <w:rsid w:val="0ACD7AE7"/>
    <w:rsid w:val="0ACE66CA"/>
    <w:rsid w:val="0ACF40F0"/>
    <w:rsid w:val="0AD26115"/>
    <w:rsid w:val="0AE21674"/>
    <w:rsid w:val="0AE47D24"/>
    <w:rsid w:val="0AF2703A"/>
    <w:rsid w:val="0AF41028"/>
    <w:rsid w:val="0AF45A20"/>
    <w:rsid w:val="0AF555EA"/>
    <w:rsid w:val="0AF93ED5"/>
    <w:rsid w:val="0AF96DD7"/>
    <w:rsid w:val="0B016542"/>
    <w:rsid w:val="0B052D9A"/>
    <w:rsid w:val="0B0769AC"/>
    <w:rsid w:val="0B0B0BE6"/>
    <w:rsid w:val="0B0C3E40"/>
    <w:rsid w:val="0B1D27AB"/>
    <w:rsid w:val="0B266484"/>
    <w:rsid w:val="0B2701BC"/>
    <w:rsid w:val="0B292F0A"/>
    <w:rsid w:val="0B2D273A"/>
    <w:rsid w:val="0B342A17"/>
    <w:rsid w:val="0B3631B4"/>
    <w:rsid w:val="0B3906E7"/>
    <w:rsid w:val="0B396580"/>
    <w:rsid w:val="0B3C467D"/>
    <w:rsid w:val="0B3D4050"/>
    <w:rsid w:val="0B423101"/>
    <w:rsid w:val="0B460AC2"/>
    <w:rsid w:val="0B472C1C"/>
    <w:rsid w:val="0B4756E3"/>
    <w:rsid w:val="0B4D0CF1"/>
    <w:rsid w:val="0B55356B"/>
    <w:rsid w:val="0B584ED5"/>
    <w:rsid w:val="0B5A3F92"/>
    <w:rsid w:val="0B646841"/>
    <w:rsid w:val="0B686907"/>
    <w:rsid w:val="0B6D3F50"/>
    <w:rsid w:val="0B727DCE"/>
    <w:rsid w:val="0B772EF8"/>
    <w:rsid w:val="0B7D6BB3"/>
    <w:rsid w:val="0B86224D"/>
    <w:rsid w:val="0B864D84"/>
    <w:rsid w:val="0B88778D"/>
    <w:rsid w:val="0B9400A5"/>
    <w:rsid w:val="0B974549"/>
    <w:rsid w:val="0BA2327D"/>
    <w:rsid w:val="0BA652F8"/>
    <w:rsid w:val="0BA737B8"/>
    <w:rsid w:val="0BA80315"/>
    <w:rsid w:val="0BB35009"/>
    <w:rsid w:val="0BB51B75"/>
    <w:rsid w:val="0BB95545"/>
    <w:rsid w:val="0BBE04F7"/>
    <w:rsid w:val="0BBE4F9C"/>
    <w:rsid w:val="0BC85C55"/>
    <w:rsid w:val="0BD56042"/>
    <w:rsid w:val="0BD8062B"/>
    <w:rsid w:val="0BE766F5"/>
    <w:rsid w:val="0BE95221"/>
    <w:rsid w:val="0BEB2EA4"/>
    <w:rsid w:val="0BEE6F3C"/>
    <w:rsid w:val="0BEF68D4"/>
    <w:rsid w:val="0BF66FD2"/>
    <w:rsid w:val="0C0A4A46"/>
    <w:rsid w:val="0C0B0C86"/>
    <w:rsid w:val="0C0E70BB"/>
    <w:rsid w:val="0C154C0B"/>
    <w:rsid w:val="0C160D64"/>
    <w:rsid w:val="0C1D40EF"/>
    <w:rsid w:val="0C203E2C"/>
    <w:rsid w:val="0C213EF7"/>
    <w:rsid w:val="0C255E34"/>
    <w:rsid w:val="0C2B6F45"/>
    <w:rsid w:val="0C307137"/>
    <w:rsid w:val="0C327BDC"/>
    <w:rsid w:val="0C3A048E"/>
    <w:rsid w:val="0C3B1C3B"/>
    <w:rsid w:val="0C3F771F"/>
    <w:rsid w:val="0C4458A5"/>
    <w:rsid w:val="0C4C6ACC"/>
    <w:rsid w:val="0C4D774A"/>
    <w:rsid w:val="0C5812AE"/>
    <w:rsid w:val="0C5C6B67"/>
    <w:rsid w:val="0C60055E"/>
    <w:rsid w:val="0C62611E"/>
    <w:rsid w:val="0C6E3A7B"/>
    <w:rsid w:val="0C700420"/>
    <w:rsid w:val="0C707F9B"/>
    <w:rsid w:val="0C716318"/>
    <w:rsid w:val="0C7412F9"/>
    <w:rsid w:val="0C7563A4"/>
    <w:rsid w:val="0C7C08C4"/>
    <w:rsid w:val="0C7E0F2B"/>
    <w:rsid w:val="0C8023FA"/>
    <w:rsid w:val="0C8A0994"/>
    <w:rsid w:val="0C8B62AB"/>
    <w:rsid w:val="0C9148C6"/>
    <w:rsid w:val="0C92295E"/>
    <w:rsid w:val="0C9263AE"/>
    <w:rsid w:val="0C933BE9"/>
    <w:rsid w:val="0C9A579E"/>
    <w:rsid w:val="0C9B32AB"/>
    <w:rsid w:val="0C9C5885"/>
    <w:rsid w:val="0CA847BA"/>
    <w:rsid w:val="0CAC5F75"/>
    <w:rsid w:val="0CBC6ECB"/>
    <w:rsid w:val="0CCA688F"/>
    <w:rsid w:val="0CD42100"/>
    <w:rsid w:val="0CD42DB2"/>
    <w:rsid w:val="0CD70960"/>
    <w:rsid w:val="0CD910A2"/>
    <w:rsid w:val="0CD9129B"/>
    <w:rsid w:val="0CE73C1C"/>
    <w:rsid w:val="0CE75AC1"/>
    <w:rsid w:val="0CE9539E"/>
    <w:rsid w:val="0CEA3128"/>
    <w:rsid w:val="0CF54660"/>
    <w:rsid w:val="0D0255A5"/>
    <w:rsid w:val="0D051700"/>
    <w:rsid w:val="0D051708"/>
    <w:rsid w:val="0D083D34"/>
    <w:rsid w:val="0D0C1062"/>
    <w:rsid w:val="0D125AD1"/>
    <w:rsid w:val="0D13696A"/>
    <w:rsid w:val="0D171354"/>
    <w:rsid w:val="0D183F2D"/>
    <w:rsid w:val="0D233A94"/>
    <w:rsid w:val="0D2764FD"/>
    <w:rsid w:val="0D283DCB"/>
    <w:rsid w:val="0D2A4FA8"/>
    <w:rsid w:val="0D30215C"/>
    <w:rsid w:val="0D361A06"/>
    <w:rsid w:val="0D3909E3"/>
    <w:rsid w:val="0D3D4F30"/>
    <w:rsid w:val="0D3F5E8B"/>
    <w:rsid w:val="0D4A61BC"/>
    <w:rsid w:val="0D4A6FD7"/>
    <w:rsid w:val="0D4D1D59"/>
    <w:rsid w:val="0D4F6650"/>
    <w:rsid w:val="0D504C9F"/>
    <w:rsid w:val="0D512C93"/>
    <w:rsid w:val="0D5F43E4"/>
    <w:rsid w:val="0D603F42"/>
    <w:rsid w:val="0D613860"/>
    <w:rsid w:val="0D6B0E90"/>
    <w:rsid w:val="0D6F2FC2"/>
    <w:rsid w:val="0D710C4A"/>
    <w:rsid w:val="0D7A3AC5"/>
    <w:rsid w:val="0D800388"/>
    <w:rsid w:val="0D8249D4"/>
    <w:rsid w:val="0D8A7856"/>
    <w:rsid w:val="0D8F62C6"/>
    <w:rsid w:val="0D9A0FC3"/>
    <w:rsid w:val="0DAF3771"/>
    <w:rsid w:val="0DAF61D6"/>
    <w:rsid w:val="0DB1354B"/>
    <w:rsid w:val="0DB40D27"/>
    <w:rsid w:val="0DB77FF7"/>
    <w:rsid w:val="0DBA6617"/>
    <w:rsid w:val="0DC91022"/>
    <w:rsid w:val="0DD06F0C"/>
    <w:rsid w:val="0DD10FCA"/>
    <w:rsid w:val="0DD518A1"/>
    <w:rsid w:val="0DDC487C"/>
    <w:rsid w:val="0DDC4A05"/>
    <w:rsid w:val="0DDD2852"/>
    <w:rsid w:val="0DDE7A8D"/>
    <w:rsid w:val="0DE82F91"/>
    <w:rsid w:val="0DEA00B9"/>
    <w:rsid w:val="0DF44299"/>
    <w:rsid w:val="0DFA47E8"/>
    <w:rsid w:val="0DFC26F3"/>
    <w:rsid w:val="0E054FB2"/>
    <w:rsid w:val="0E1F5C36"/>
    <w:rsid w:val="0E22531F"/>
    <w:rsid w:val="0E2B0D23"/>
    <w:rsid w:val="0E2F3BD7"/>
    <w:rsid w:val="0E3C3AF1"/>
    <w:rsid w:val="0E4374F6"/>
    <w:rsid w:val="0E442752"/>
    <w:rsid w:val="0E4764BE"/>
    <w:rsid w:val="0E4871AF"/>
    <w:rsid w:val="0E4936AC"/>
    <w:rsid w:val="0E49592B"/>
    <w:rsid w:val="0E5218B5"/>
    <w:rsid w:val="0E537483"/>
    <w:rsid w:val="0E593FAE"/>
    <w:rsid w:val="0E5D606D"/>
    <w:rsid w:val="0E68436D"/>
    <w:rsid w:val="0E692949"/>
    <w:rsid w:val="0E743E3A"/>
    <w:rsid w:val="0E7D4E0F"/>
    <w:rsid w:val="0E802B8E"/>
    <w:rsid w:val="0E874A42"/>
    <w:rsid w:val="0E8C33A3"/>
    <w:rsid w:val="0E8F0480"/>
    <w:rsid w:val="0E910558"/>
    <w:rsid w:val="0EA0472D"/>
    <w:rsid w:val="0EA0750A"/>
    <w:rsid w:val="0EA77347"/>
    <w:rsid w:val="0EBF009C"/>
    <w:rsid w:val="0EC048A7"/>
    <w:rsid w:val="0EC1137C"/>
    <w:rsid w:val="0ECA135E"/>
    <w:rsid w:val="0ECC7FE5"/>
    <w:rsid w:val="0ECD42DA"/>
    <w:rsid w:val="0ED25014"/>
    <w:rsid w:val="0EDC7BA9"/>
    <w:rsid w:val="0EE273F6"/>
    <w:rsid w:val="0EE63371"/>
    <w:rsid w:val="0EE92543"/>
    <w:rsid w:val="0EF73597"/>
    <w:rsid w:val="0EF7764E"/>
    <w:rsid w:val="0EFE23B9"/>
    <w:rsid w:val="0EFF03A0"/>
    <w:rsid w:val="0EFF2652"/>
    <w:rsid w:val="0F004A9E"/>
    <w:rsid w:val="0F006866"/>
    <w:rsid w:val="0F092672"/>
    <w:rsid w:val="0F0C6F76"/>
    <w:rsid w:val="0F0D4B56"/>
    <w:rsid w:val="0F190A71"/>
    <w:rsid w:val="0F213036"/>
    <w:rsid w:val="0F214B5C"/>
    <w:rsid w:val="0F300E3C"/>
    <w:rsid w:val="0F316D0E"/>
    <w:rsid w:val="0F323904"/>
    <w:rsid w:val="0F367588"/>
    <w:rsid w:val="0F382298"/>
    <w:rsid w:val="0F3E1CE8"/>
    <w:rsid w:val="0F4158C0"/>
    <w:rsid w:val="0F484DD7"/>
    <w:rsid w:val="0F4C6D21"/>
    <w:rsid w:val="0F4F1FAC"/>
    <w:rsid w:val="0F513A47"/>
    <w:rsid w:val="0F57048D"/>
    <w:rsid w:val="0F576FB7"/>
    <w:rsid w:val="0F6071C0"/>
    <w:rsid w:val="0F643AE3"/>
    <w:rsid w:val="0F6E391C"/>
    <w:rsid w:val="0F752ED8"/>
    <w:rsid w:val="0F857223"/>
    <w:rsid w:val="0F860284"/>
    <w:rsid w:val="0F8B03E2"/>
    <w:rsid w:val="0F8C0DDF"/>
    <w:rsid w:val="0F9C5D08"/>
    <w:rsid w:val="0F9C7A37"/>
    <w:rsid w:val="0F9D0EEF"/>
    <w:rsid w:val="0FA1598F"/>
    <w:rsid w:val="0FA86E29"/>
    <w:rsid w:val="0FAC7216"/>
    <w:rsid w:val="0FB26F6E"/>
    <w:rsid w:val="0FBE332A"/>
    <w:rsid w:val="0FBF1CED"/>
    <w:rsid w:val="0FC00CB7"/>
    <w:rsid w:val="0FC327BE"/>
    <w:rsid w:val="0FC71DB4"/>
    <w:rsid w:val="0FCB192E"/>
    <w:rsid w:val="0FCC4CD3"/>
    <w:rsid w:val="0FCF4306"/>
    <w:rsid w:val="0FD34575"/>
    <w:rsid w:val="0FD75646"/>
    <w:rsid w:val="0FE20AE5"/>
    <w:rsid w:val="0FE525FD"/>
    <w:rsid w:val="0FE56367"/>
    <w:rsid w:val="0FE8270A"/>
    <w:rsid w:val="0FF03187"/>
    <w:rsid w:val="10105120"/>
    <w:rsid w:val="1012139D"/>
    <w:rsid w:val="10144C10"/>
    <w:rsid w:val="101729E1"/>
    <w:rsid w:val="101A4C30"/>
    <w:rsid w:val="101E4036"/>
    <w:rsid w:val="102320B6"/>
    <w:rsid w:val="102479F5"/>
    <w:rsid w:val="102602A2"/>
    <w:rsid w:val="10285C2E"/>
    <w:rsid w:val="102B2225"/>
    <w:rsid w:val="10300578"/>
    <w:rsid w:val="10375F0E"/>
    <w:rsid w:val="103B1ADF"/>
    <w:rsid w:val="103C3B88"/>
    <w:rsid w:val="104248E1"/>
    <w:rsid w:val="104340E9"/>
    <w:rsid w:val="104E0DA1"/>
    <w:rsid w:val="10525399"/>
    <w:rsid w:val="105B73E8"/>
    <w:rsid w:val="105F663E"/>
    <w:rsid w:val="10726EA2"/>
    <w:rsid w:val="107E0F89"/>
    <w:rsid w:val="108F3AC3"/>
    <w:rsid w:val="1099428C"/>
    <w:rsid w:val="109C451C"/>
    <w:rsid w:val="109F607C"/>
    <w:rsid w:val="10A053A2"/>
    <w:rsid w:val="10A136EF"/>
    <w:rsid w:val="10A54D35"/>
    <w:rsid w:val="10AC3053"/>
    <w:rsid w:val="10B42A80"/>
    <w:rsid w:val="10B469D4"/>
    <w:rsid w:val="10B74BB1"/>
    <w:rsid w:val="10B9043F"/>
    <w:rsid w:val="10BA5E68"/>
    <w:rsid w:val="10C65DDB"/>
    <w:rsid w:val="10D25356"/>
    <w:rsid w:val="10D571E4"/>
    <w:rsid w:val="10D73461"/>
    <w:rsid w:val="10DD15CC"/>
    <w:rsid w:val="10E303FD"/>
    <w:rsid w:val="10E4778F"/>
    <w:rsid w:val="10F07B31"/>
    <w:rsid w:val="10F15D42"/>
    <w:rsid w:val="10FC690A"/>
    <w:rsid w:val="10FF6A43"/>
    <w:rsid w:val="110054C4"/>
    <w:rsid w:val="11023E55"/>
    <w:rsid w:val="110A0267"/>
    <w:rsid w:val="110A2465"/>
    <w:rsid w:val="110C14EB"/>
    <w:rsid w:val="1113278C"/>
    <w:rsid w:val="11162198"/>
    <w:rsid w:val="11184A30"/>
    <w:rsid w:val="1130268D"/>
    <w:rsid w:val="11302C55"/>
    <w:rsid w:val="1130732E"/>
    <w:rsid w:val="113103F9"/>
    <w:rsid w:val="11312030"/>
    <w:rsid w:val="11326286"/>
    <w:rsid w:val="113561EF"/>
    <w:rsid w:val="11364279"/>
    <w:rsid w:val="1137420D"/>
    <w:rsid w:val="11413D74"/>
    <w:rsid w:val="1145213C"/>
    <w:rsid w:val="11566A41"/>
    <w:rsid w:val="115B216E"/>
    <w:rsid w:val="11661382"/>
    <w:rsid w:val="116B56D3"/>
    <w:rsid w:val="116C2954"/>
    <w:rsid w:val="116E241F"/>
    <w:rsid w:val="11732E91"/>
    <w:rsid w:val="117417A1"/>
    <w:rsid w:val="117626F4"/>
    <w:rsid w:val="117A0B6A"/>
    <w:rsid w:val="117B4749"/>
    <w:rsid w:val="117C4958"/>
    <w:rsid w:val="117D26B5"/>
    <w:rsid w:val="119013A6"/>
    <w:rsid w:val="11914F38"/>
    <w:rsid w:val="119165DF"/>
    <w:rsid w:val="11942C5E"/>
    <w:rsid w:val="119B29D6"/>
    <w:rsid w:val="119F4C43"/>
    <w:rsid w:val="119F5771"/>
    <w:rsid w:val="11A960AF"/>
    <w:rsid w:val="11AA275E"/>
    <w:rsid w:val="11AD0AF3"/>
    <w:rsid w:val="11AE0871"/>
    <w:rsid w:val="11AE50AD"/>
    <w:rsid w:val="11B479D6"/>
    <w:rsid w:val="11B76869"/>
    <w:rsid w:val="11C13D0E"/>
    <w:rsid w:val="11C437D9"/>
    <w:rsid w:val="11E80C73"/>
    <w:rsid w:val="11E86685"/>
    <w:rsid w:val="11EE1F1E"/>
    <w:rsid w:val="11F60E69"/>
    <w:rsid w:val="11F62EDD"/>
    <w:rsid w:val="11F93F37"/>
    <w:rsid w:val="12063C31"/>
    <w:rsid w:val="120D6CDB"/>
    <w:rsid w:val="120E21A5"/>
    <w:rsid w:val="12126CED"/>
    <w:rsid w:val="12136AFD"/>
    <w:rsid w:val="12140EE3"/>
    <w:rsid w:val="122308B7"/>
    <w:rsid w:val="12237F8F"/>
    <w:rsid w:val="123411FF"/>
    <w:rsid w:val="12343484"/>
    <w:rsid w:val="12346577"/>
    <w:rsid w:val="12396DC0"/>
    <w:rsid w:val="123A61D6"/>
    <w:rsid w:val="12460F82"/>
    <w:rsid w:val="12461053"/>
    <w:rsid w:val="12496CCE"/>
    <w:rsid w:val="12550A8C"/>
    <w:rsid w:val="125D771D"/>
    <w:rsid w:val="12660018"/>
    <w:rsid w:val="126A3CDD"/>
    <w:rsid w:val="126B05A3"/>
    <w:rsid w:val="126E1D1F"/>
    <w:rsid w:val="126F1322"/>
    <w:rsid w:val="12713769"/>
    <w:rsid w:val="12716495"/>
    <w:rsid w:val="12772CA6"/>
    <w:rsid w:val="127A15E2"/>
    <w:rsid w:val="127C0E0C"/>
    <w:rsid w:val="127C2B30"/>
    <w:rsid w:val="12854AB9"/>
    <w:rsid w:val="1285723D"/>
    <w:rsid w:val="1287228D"/>
    <w:rsid w:val="128F1020"/>
    <w:rsid w:val="129075D2"/>
    <w:rsid w:val="129135A6"/>
    <w:rsid w:val="12927B8E"/>
    <w:rsid w:val="129448A3"/>
    <w:rsid w:val="12981FF8"/>
    <w:rsid w:val="129D4381"/>
    <w:rsid w:val="12A824DF"/>
    <w:rsid w:val="12B56B30"/>
    <w:rsid w:val="12BD1B79"/>
    <w:rsid w:val="12C7003B"/>
    <w:rsid w:val="12C7011D"/>
    <w:rsid w:val="12C94D8B"/>
    <w:rsid w:val="12CB4EFA"/>
    <w:rsid w:val="12D11F24"/>
    <w:rsid w:val="12D5001F"/>
    <w:rsid w:val="12D55BBE"/>
    <w:rsid w:val="12D64B22"/>
    <w:rsid w:val="12D76459"/>
    <w:rsid w:val="12DC1676"/>
    <w:rsid w:val="12E67D50"/>
    <w:rsid w:val="12E77833"/>
    <w:rsid w:val="12EE10A5"/>
    <w:rsid w:val="12F02DCD"/>
    <w:rsid w:val="12F42A74"/>
    <w:rsid w:val="130146B3"/>
    <w:rsid w:val="13037207"/>
    <w:rsid w:val="13043585"/>
    <w:rsid w:val="130E1519"/>
    <w:rsid w:val="130E3266"/>
    <w:rsid w:val="13181508"/>
    <w:rsid w:val="131A602E"/>
    <w:rsid w:val="1326294A"/>
    <w:rsid w:val="132C54A3"/>
    <w:rsid w:val="132E62F3"/>
    <w:rsid w:val="1331214A"/>
    <w:rsid w:val="1337383F"/>
    <w:rsid w:val="133D5555"/>
    <w:rsid w:val="133E5120"/>
    <w:rsid w:val="13416DE8"/>
    <w:rsid w:val="1345540C"/>
    <w:rsid w:val="1347039F"/>
    <w:rsid w:val="13481B44"/>
    <w:rsid w:val="134E2A71"/>
    <w:rsid w:val="134F4B6C"/>
    <w:rsid w:val="13534666"/>
    <w:rsid w:val="13554D62"/>
    <w:rsid w:val="13562276"/>
    <w:rsid w:val="136526CA"/>
    <w:rsid w:val="136B512A"/>
    <w:rsid w:val="136F4768"/>
    <w:rsid w:val="13716937"/>
    <w:rsid w:val="137C27CF"/>
    <w:rsid w:val="13936203"/>
    <w:rsid w:val="1398165E"/>
    <w:rsid w:val="139A1CF2"/>
    <w:rsid w:val="139C3B80"/>
    <w:rsid w:val="13A62154"/>
    <w:rsid w:val="13AE6CF9"/>
    <w:rsid w:val="13B2444A"/>
    <w:rsid w:val="13B70C35"/>
    <w:rsid w:val="13B90302"/>
    <w:rsid w:val="13B923DB"/>
    <w:rsid w:val="13BB1F14"/>
    <w:rsid w:val="13C127EE"/>
    <w:rsid w:val="13C5189C"/>
    <w:rsid w:val="13CA325E"/>
    <w:rsid w:val="13CE1F3F"/>
    <w:rsid w:val="13CE65C7"/>
    <w:rsid w:val="13CF0F76"/>
    <w:rsid w:val="13D02F5C"/>
    <w:rsid w:val="13D15FB5"/>
    <w:rsid w:val="13D4712A"/>
    <w:rsid w:val="13D57152"/>
    <w:rsid w:val="13DD1BF4"/>
    <w:rsid w:val="13E2247E"/>
    <w:rsid w:val="13E6577A"/>
    <w:rsid w:val="13E92125"/>
    <w:rsid w:val="13F27CA8"/>
    <w:rsid w:val="13F924A1"/>
    <w:rsid w:val="13FA3C79"/>
    <w:rsid w:val="13FB519F"/>
    <w:rsid w:val="13FB5CBA"/>
    <w:rsid w:val="13FE1F1E"/>
    <w:rsid w:val="1408200D"/>
    <w:rsid w:val="140C7F91"/>
    <w:rsid w:val="141151BE"/>
    <w:rsid w:val="142635F4"/>
    <w:rsid w:val="142C1525"/>
    <w:rsid w:val="14300C91"/>
    <w:rsid w:val="14310996"/>
    <w:rsid w:val="14365BEB"/>
    <w:rsid w:val="1439149C"/>
    <w:rsid w:val="143F6039"/>
    <w:rsid w:val="143F60F1"/>
    <w:rsid w:val="1441042A"/>
    <w:rsid w:val="14424E50"/>
    <w:rsid w:val="14442422"/>
    <w:rsid w:val="144B272F"/>
    <w:rsid w:val="144F3B72"/>
    <w:rsid w:val="1450588C"/>
    <w:rsid w:val="14511DB9"/>
    <w:rsid w:val="1458694E"/>
    <w:rsid w:val="145A5326"/>
    <w:rsid w:val="14601EA1"/>
    <w:rsid w:val="146A2DE6"/>
    <w:rsid w:val="1470403F"/>
    <w:rsid w:val="14795F51"/>
    <w:rsid w:val="14803003"/>
    <w:rsid w:val="14814CC2"/>
    <w:rsid w:val="1484051B"/>
    <w:rsid w:val="148E2CA2"/>
    <w:rsid w:val="14927C91"/>
    <w:rsid w:val="1495358D"/>
    <w:rsid w:val="14960350"/>
    <w:rsid w:val="14977567"/>
    <w:rsid w:val="149B5253"/>
    <w:rsid w:val="149C53FE"/>
    <w:rsid w:val="149F45A0"/>
    <w:rsid w:val="14B02BDD"/>
    <w:rsid w:val="14B22FF1"/>
    <w:rsid w:val="14B834A3"/>
    <w:rsid w:val="14BB78C4"/>
    <w:rsid w:val="14BF2501"/>
    <w:rsid w:val="14C72DF8"/>
    <w:rsid w:val="14C83585"/>
    <w:rsid w:val="14CF01B6"/>
    <w:rsid w:val="14E354D9"/>
    <w:rsid w:val="14E83E03"/>
    <w:rsid w:val="1500098A"/>
    <w:rsid w:val="15091130"/>
    <w:rsid w:val="150B7A24"/>
    <w:rsid w:val="150E39A4"/>
    <w:rsid w:val="15106F93"/>
    <w:rsid w:val="15146BED"/>
    <w:rsid w:val="151544F0"/>
    <w:rsid w:val="15160A82"/>
    <w:rsid w:val="1517338C"/>
    <w:rsid w:val="151A097A"/>
    <w:rsid w:val="15200FA8"/>
    <w:rsid w:val="15212F51"/>
    <w:rsid w:val="15321615"/>
    <w:rsid w:val="15381AE5"/>
    <w:rsid w:val="153B03BC"/>
    <w:rsid w:val="153B3689"/>
    <w:rsid w:val="15430072"/>
    <w:rsid w:val="15430DD1"/>
    <w:rsid w:val="15453498"/>
    <w:rsid w:val="15454EED"/>
    <w:rsid w:val="154804A1"/>
    <w:rsid w:val="15536E27"/>
    <w:rsid w:val="15590211"/>
    <w:rsid w:val="155D2D45"/>
    <w:rsid w:val="15630F8B"/>
    <w:rsid w:val="15682255"/>
    <w:rsid w:val="156B082A"/>
    <w:rsid w:val="15724551"/>
    <w:rsid w:val="15762D53"/>
    <w:rsid w:val="15777C7D"/>
    <w:rsid w:val="157A2B32"/>
    <w:rsid w:val="157B31C1"/>
    <w:rsid w:val="1584647B"/>
    <w:rsid w:val="15861939"/>
    <w:rsid w:val="15865DC0"/>
    <w:rsid w:val="158A1BA6"/>
    <w:rsid w:val="158A27D8"/>
    <w:rsid w:val="158F0295"/>
    <w:rsid w:val="1595004E"/>
    <w:rsid w:val="15A43BC7"/>
    <w:rsid w:val="15AA5CF0"/>
    <w:rsid w:val="15AD0240"/>
    <w:rsid w:val="15B1104E"/>
    <w:rsid w:val="15B452D1"/>
    <w:rsid w:val="15BF4C8E"/>
    <w:rsid w:val="15C47A81"/>
    <w:rsid w:val="15C635D1"/>
    <w:rsid w:val="15D14A31"/>
    <w:rsid w:val="15E1267D"/>
    <w:rsid w:val="15EB75D3"/>
    <w:rsid w:val="15F22817"/>
    <w:rsid w:val="15FB75A9"/>
    <w:rsid w:val="16074756"/>
    <w:rsid w:val="16092390"/>
    <w:rsid w:val="160D57BC"/>
    <w:rsid w:val="160F09CC"/>
    <w:rsid w:val="161244C7"/>
    <w:rsid w:val="16127382"/>
    <w:rsid w:val="1613742E"/>
    <w:rsid w:val="16190363"/>
    <w:rsid w:val="16196859"/>
    <w:rsid w:val="161E3B77"/>
    <w:rsid w:val="16201C1E"/>
    <w:rsid w:val="16291BE6"/>
    <w:rsid w:val="162F133B"/>
    <w:rsid w:val="16331F3C"/>
    <w:rsid w:val="16375CFB"/>
    <w:rsid w:val="163F72F1"/>
    <w:rsid w:val="164E7547"/>
    <w:rsid w:val="165531EF"/>
    <w:rsid w:val="165B225F"/>
    <w:rsid w:val="165D1C54"/>
    <w:rsid w:val="165D7A35"/>
    <w:rsid w:val="16645511"/>
    <w:rsid w:val="166502D4"/>
    <w:rsid w:val="16674927"/>
    <w:rsid w:val="16694D81"/>
    <w:rsid w:val="16695078"/>
    <w:rsid w:val="166A7CD6"/>
    <w:rsid w:val="16740F88"/>
    <w:rsid w:val="16777DB7"/>
    <w:rsid w:val="167A497E"/>
    <w:rsid w:val="167A736F"/>
    <w:rsid w:val="167E755F"/>
    <w:rsid w:val="167F55A0"/>
    <w:rsid w:val="168374F9"/>
    <w:rsid w:val="16861CF8"/>
    <w:rsid w:val="169E7D12"/>
    <w:rsid w:val="16A71C63"/>
    <w:rsid w:val="16B11451"/>
    <w:rsid w:val="16B36A40"/>
    <w:rsid w:val="16B83AC5"/>
    <w:rsid w:val="16BB0826"/>
    <w:rsid w:val="16BF1F07"/>
    <w:rsid w:val="16C1135F"/>
    <w:rsid w:val="16C3150A"/>
    <w:rsid w:val="16C63CCF"/>
    <w:rsid w:val="16C85794"/>
    <w:rsid w:val="16CA2701"/>
    <w:rsid w:val="16CC06E0"/>
    <w:rsid w:val="16CE6A39"/>
    <w:rsid w:val="16D43F65"/>
    <w:rsid w:val="16D7045E"/>
    <w:rsid w:val="16D7082D"/>
    <w:rsid w:val="16DB026E"/>
    <w:rsid w:val="16DF237D"/>
    <w:rsid w:val="16E14196"/>
    <w:rsid w:val="16E71A69"/>
    <w:rsid w:val="16E86E40"/>
    <w:rsid w:val="16EF3A42"/>
    <w:rsid w:val="16F04660"/>
    <w:rsid w:val="16F11059"/>
    <w:rsid w:val="17033E3B"/>
    <w:rsid w:val="17053869"/>
    <w:rsid w:val="170D00A4"/>
    <w:rsid w:val="17161DC4"/>
    <w:rsid w:val="171A3ABE"/>
    <w:rsid w:val="171B610F"/>
    <w:rsid w:val="171C13F4"/>
    <w:rsid w:val="171C6FFA"/>
    <w:rsid w:val="171C7A21"/>
    <w:rsid w:val="171E673E"/>
    <w:rsid w:val="172A5EEC"/>
    <w:rsid w:val="172B0D3F"/>
    <w:rsid w:val="173048A8"/>
    <w:rsid w:val="17341579"/>
    <w:rsid w:val="173439BC"/>
    <w:rsid w:val="17381DF3"/>
    <w:rsid w:val="17582328"/>
    <w:rsid w:val="17590C7D"/>
    <w:rsid w:val="175B5E58"/>
    <w:rsid w:val="175D6255"/>
    <w:rsid w:val="17606447"/>
    <w:rsid w:val="17663BD7"/>
    <w:rsid w:val="176F5EE4"/>
    <w:rsid w:val="177055CD"/>
    <w:rsid w:val="1776446A"/>
    <w:rsid w:val="17773396"/>
    <w:rsid w:val="177864A7"/>
    <w:rsid w:val="177E43EF"/>
    <w:rsid w:val="178D2070"/>
    <w:rsid w:val="179346E8"/>
    <w:rsid w:val="179371D0"/>
    <w:rsid w:val="1798432D"/>
    <w:rsid w:val="179A3430"/>
    <w:rsid w:val="179B4D29"/>
    <w:rsid w:val="17AD441F"/>
    <w:rsid w:val="17AF6B52"/>
    <w:rsid w:val="17B15A70"/>
    <w:rsid w:val="17B24BA1"/>
    <w:rsid w:val="17B6285B"/>
    <w:rsid w:val="17BA4BB0"/>
    <w:rsid w:val="17BB2F10"/>
    <w:rsid w:val="17CA799B"/>
    <w:rsid w:val="17D44338"/>
    <w:rsid w:val="17DC7C4C"/>
    <w:rsid w:val="17E15064"/>
    <w:rsid w:val="17E22CE7"/>
    <w:rsid w:val="17E25952"/>
    <w:rsid w:val="17E8327F"/>
    <w:rsid w:val="17F06DFD"/>
    <w:rsid w:val="17F1204E"/>
    <w:rsid w:val="17F84EB2"/>
    <w:rsid w:val="17F9343D"/>
    <w:rsid w:val="17FF41CD"/>
    <w:rsid w:val="18006F8F"/>
    <w:rsid w:val="18013A94"/>
    <w:rsid w:val="180425D2"/>
    <w:rsid w:val="181352CC"/>
    <w:rsid w:val="18150601"/>
    <w:rsid w:val="181919F4"/>
    <w:rsid w:val="181928F8"/>
    <w:rsid w:val="181936DE"/>
    <w:rsid w:val="181F37AE"/>
    <w:rsid w:val="18250C84"/>
    <w:rsid w:val="18445490"/>
    <w:rsid w:val="184E7B0E"/>
    <w:rsid w:val="18541A3B"/>
    <w:rsid w:val="185B0EF9"/>
    <w:rsid w:val="185C7290"/>
    <w:rsid w:val="185C73D9"/>
    <w:rsid w:val="185F115D"/>
    <w:rsid w:val="18604FA4"/>
    <w:rsid w:val="186465BD"/>
    <w:rsid w:val="186A348B"/>
    <w:rsid w:val="186D020D"/>
    <w:rsid w:val="186D4BBE"/>
    <w:rsid w:val="187348A4"/>
    <w:rsid w:val="18737037"/>
    <w:rsid w:val="187450B9"/>
    <w:rsid w:val="18750D52"/>
    <w:rsid w:val="187675F0"/>
    <w:rsid w:val="18773A80"/>
    <w:rsid w:val="18785142"/>
    <w:rsid w:val="189C3F30"/>
    <w:rsid w:val="18A06440"/>
    <w:rsid w:val="18A079BC"/>
    <w:rsid w:val="18A71A6B"/>
    <w:rsid w:val="18AB38B2"/>
    <w:rsid w:val="18AC0389"/>
    <w:rsid w:val="18B014B3"/>
    <w:rsid w:val="18B44137"/>
    <w:rsid w:val="18BF2C6E"/>
    <w:rsid w:val="18BF5920"/>
    <w:rsid w:val="18C120D4"/>
    <w:rsid w:val="18C940B5"/>
    <w:rsid w:val="18CA79CB"/>
    <w:rsid w:val="18CC241C"/>
    <w:rsid w:val="18CD171B"/>
    <w:rsid w:val="18CD55BE"/>
    <w:rsid w:val="18D57836"/>
    <w:rsid w:val="18D901D4"/>
    <w:rsid w:val="18DB4B87"/>
    <w:rsid w:val="18DF2608"/>
    <w:rsid w:val="18E32BE0"/>
    <w:rsid w:val="18E64A89"/>
    <w:rsid w:val="18E8182A"/>
    <w:rsid w:val="18EB27E6"/>
    <w:rsid w:val="18EB6B5B"/>
    <w:rsid w:val="18ED5085"/>
    <w:rsid w:val="18EE7678"/>
    <w:rsid w:val="18EF12B6"/>
    <w:rsid w:val="18EF1823"/>
    <w:rsid w:val="18FA75D9"/>
    <w:rsid w:val="18FB2BBA"/>
    <w:rsid w:val="18FB3EE0"/>
    <w:rsid w:val="18FB6309"/>
    <w:rsid w:val="19016379"/>
    <w:rsid w:val="19030293"/>
    <w:rsid w:val="19066241"/>
    <w:rsid w:val="19071A92"/>
    <w:rsid w:val="190E534C"/>
    <w:rsid w:val="191019B6"/>
    <w:rsid w:val="1910551F"/>
    <w:rsid w:val="191612B4"/>
    <w:rsid w:val="191C30F1"/>
    <w:rsid w:val="191E5B04"/>
    <w:rsid w:val="19216F16"/>
    <w:rsid w:val="192E7761"/>
    <w:rsid w:val="19304EBA"/>
    <w:rsid w:val="193179F5"/>
    <w:rsid w:val="1939517C"/>
    <w:rsid w:val="194428BE"/>
    <w:rsid w:val="194C5EFB"/>
    <w:rsid w:val="194D3624"/>
    <w:rsid w:val="194E3175"/>
    <w:rsid w:val="19546DDB"/>
    <w:rsid w:val="19553DFA"/>
    <w:rsid w:val="19614127"/>
    <w:rsid w:val="196157EF"/>
    <w:rsid w:val="19680694"/>
    <w:rsid w:val="19692323"/>
    <w:rsid w:val="196F7806"/>
    <w:rsid w:val="197109E3"/>
    <w:rsid w:val="19747468"/>
    <w:rsid w:val="19784AAE"/>
    <w:rsid w:val="197E6C19"/>
    <w:rsid w:val="197F4318"/>
    <w:rsid w:val="198020E3"/>
    <w:rsid w:val="19894F11"/>
    <w:rsid w:val="198D054F"/>
    <w:rsid w:val="198D087B"/>
    <w:rsid w:val="198D61CC"/>
    <w:rsid w:val="19925953"/>
    <w:rsid w:val="19967693"/>
    <w:rsid w:val="19981903"/>
    <w:rsid w:val="199B1A6F"/>
    <w:rsid w:val="19A52156"/>
    <w:rsid w:val="19B056FA"/>
    <w:rsid w:val="19B72EFC"/>
    <w:rsid w:val="19BF2B9B"/>
    <w:rsid w:val="19C40209"/>
    <w:rsid w:val="19C511C9"/>
    <w:rsid w:val="19C613C1"/>
    <w:rsid w:val="19C63ACA"/>
    <w:rsid w:val="19C841C4"/>
    <w:rsid w:val="19D17B6E"/>
    <w:rsid w:val="19D26A39"/>
    <w:rsid w:val="19D27575"/>
    <w:rsid w:val="19D65052"/>
    <w:rsid w:val="19D7567E"/>
    <w:rsid w:val="19D75BB1"/>
    <w:rsid w:val="19DA4ECC"/>
    <w:rsid w:val="19DB58E3"/>
    <w:rsid w:val="19DC7C39"/>
    <w:rsid w:val="19DF509A"/>
    <w:rsid w:val="19F15826"/>
    <w:rsid w:val="19F32B94"/>
    <w:rsid w:val="19F420A0"/>
    <w:rsid w:val="19F83B78"/>
    <w:rsid w:val="19FD6C2F"/>
    <w:rsid w:val="1A0A02FB"/>
    <w:rsid w:val="1A0C2A1A"/>
    <w:rsid w:val="1A161DE2"/>
    <w:rsid w:val="1A167A12"/>
    <w:rsid w:val="1A1C11C8"/>
    <w:rsid w:val="1A1C3C9D"/>
    <w:rsid w:val="1A203C6C"/>
    <w:rsid w:val="1A252F7C"/>
    <w:rsid w:val="1A285A39"/>
    <w:rsid w:val="1A2F1ABA"/>
    <w:rsid w:val="1A4510A4"/>
    <w:rsid w:val="1A45723B"/>
    <w:rsid w:val="1A501B08"/>
    <w:rsid w:val="1A547A59"/>
    <w:rsid w:val="1A587F83"/>
    <w:rsid w:val="1A5B14D8"/>
    <w:rsid w:val="1A5B790D"/>
    <w:rsid w:val="1A5C7BD7"/>
    <w:rsid w:val="1A634F23"/>
    <w:rsid w:val="1A6C5D86"/>
    <w:rsid w:val="1A6D2368"/>
    <w:rsid w:val="1A6D598D"/>
    <w:rsid w:val="1A6E2394"/>
    <w:rsid w:val="1A710642"/>
    <w:rsid w:val="1A7A6EB9"/>
    <w:rsid w:val="1A7E11BA"/>
    <w:rsid w:val="1A8204BF"/>
    <w:rsid w:val="1A84362A"/>
    <w:rsid w:val="1A85619B"/>
    <w:rsid w:val="1A8D6F19"/>
    <w:rsid w:val="1A8E70CF"/>
    <w:rsid w:val="1A926A21"/>
    <w:rsid w:val="1AA20AEC"/>
    <w:rsid w:val="1AA84384"/>
    <w:rsid w:val="1AAE097F"/>
    <w:rsid w:val="1AB048A1"/>
    <w:rsid w:val="1AB74B41"/>
    <w:rsid w:val="1AB74B76"/>
    <w:rsid w:val="1AB83F38"/>
    <w:rsid w:val="1AB91C15"/>
    <w:rsid w:val="1AC37DE6"/>
    <w:rsid w:val="1AC56E1C"/>
    <w:rsid w:val="1AC612E4"/>
    <w:rsid w:val="1ACA6FAC"/>
    <w:rsid w:val="1ACE30B0"/>
    <w:rsid w:val="1AD05149"/>
    <w:rsid w:val="1AD30B19"/>
    <w:rsid w:val="1ADB7152"/>
    <w:rsid w:val="1ADF4B9B"/>
    <w:rsid w:val="1AE715DE"/>
    <w:rsid w:val="1AED0BB1"/>
    <w:rsid w:val="1AED4C9E"/>
    <w:rsid w:val="1AF3664A"/>
    <w:rsid w:val="1AF55C3F"/>
    <w:rsid w:val="1AF7033E"/>
    <w:rsid w:val="1AF7647D"/>
    <w:rsid w:val="1AF80C3F"/>
    <w:rsid w:val="1B02149B"/>
    <w:rsid w:val="1B0451D9"/>
    <w:rsid w:val="1B06220D"/>
    <w:rsid w:val="1B0A183F"/>
    <w:rsid w:val="1B194F3E"/>
    <w:rsid w:val="1B1C57D6"/>
    <w:rsid w:val="1B1F796D"/>
    <w:rsid w:val="1B26138A"/>
    <w:rsid w:val="1B26667A"/>
    <w:rsid w:val="1B2841DF"/>
    <w:rsid w:val="1B2A1E60"/>
    <w:rsid w:val="1B2D7919"/>
    <w:rsid w:val="1B2E199D"/>
    <w:rsid w:val="1B2E6817"/>
    <w:rsid w:val="1B3A01D3"/>
    <w:rsid w:val="1B46316C"/>
    <w:rsid w:val="1B4B4A24"/>
    <w:rsid w:val="1B4D2B22"/>
    <w:rsid w:val="1B544427"/>
    <w:rsid w:val="1B572C0C"/>
    <w:rsid w:val="1B577C0F"/>
    <w:rsid w:val="1B581520"/>
    <w:rsid w:val="1B5B329F"/>
    <w:rsid w:val="1B5C3690"/>
    <w:rsid w:val="1B6910F3"/>
    <w:rsid w:val="1B6F1019"/>
    <w:rsid w:val="1B801DC9"/>
    <w:rsid w:val="1B89255D"/>
    <w:rsid w:val="1B8D7F79"/>
    <w:rsid w:val="1B8F2FD9"/>
    <w:rsid w:val="1B9145B6"/>
    <w:rsid w:val="1B925C31"/>
    <w:rsid w:val="1B954427"/>
    <w:rsid w:val="1B977A37"/>
    <w:rsid w:val="1BA46D67"/>
    <w:rsid w:val="1BAD287A"/>
    <w:rsid w:val="1BB12375"/>
    <w:rsid w:val="1BB172CF"/>
    <w:rsid w:val="1BB411BC"/>
    <w:rsid w:val="1BBA7CF2"/>
    <w:rsid w:val="1BBF569E"/>
    <w:rsid w:val="1BC833B8"/>
    <w:rsid w:val="1BCB1DD2"/>
    <w:rsid w:val="1BE05B8F"/>
    <w:rsid w:val="1BE46C5B"/>
    <w:rsid w:val="1BE628A7"/>
    <w:rsid w:val="1BED1A61"/>
    <w:rsid w:val="1BF7140E"/>
    <w:rsid w:val="1BF8640B"/>
    <w:rsid w:val="1BFB1F41"/>
    <w:rsid w:val="1BFE4074"/>
    <w:rsid w:val="1C07683D"/>
    <w:rsid w:val="1C0C77DE"/>
    <w:rsid w:val="1C1033DE"/>
    <w:rsid w:val="1C181E9E"/>
    <w:rsid w:val="1C267E9A"/>
    <w:rsid w:val="1C2E0D90"/>
    <w:rsid w:val="1C315C94"/>
    <w:rsid w:val="1C325E8F"/>
    <w:rsid w:val="1C374730"/>
    <w:rsid w:val="1C456B66"/>
    <w:rsid w:val="1C5C31D6"/>
    <w:rsid w:val="1C6D2EAD"/>
    <w:rsid w:val="1C6F0C04"/>
    <w:rsid w:val="1C705677"/>
    <w:rsid w:val="1C753B86"/>
    <w:rsid w:val="1C7701EA"/>
    <w:rsid w:val="1C7E4E79"/>
    <w:rsid w:val="1C882A21"/>
    <w:rsid w:val="1C8C3624"/>
    <w:rsid w:val="1C8C38DC"/>
    <w:rsid w:val="1C921166"/>
    <w:rsid w:val="1C9913F4"/>
    <w:rsid w:val="1C9D30D6"/>
    <w:rsid w:val="1CA367C3"/>
    <w:rsid w:val="1CA76CC5"/>
    <w:rsid w:val="1CAA2AC1"/>
    <w:rsid w:val="1CB9200A"/>
    <w:rsid w:val="1CC01341"/>
    <w:rsid w:val="1CCD25A4"/>
    <w:rsid w:val="1CD509ED"/>
    <w:rsid w:val="1CDC68B2"/>
    <w:rsid w:val="1CE000F1"/>
    <w:rsid w:val="1CE56AD6"/>
    <w:rsid w:val="1CE70813"/>
    <w:rsid w:val="1CED010B"/>
    <w:rsid w:val="1CF31C9E"/>
    <w:rsid w:val="1CF52B1C"/>
    <w:rsid w:val="1CFA3D91"/>
    <w:rsid w:val="1CFA410F"/>
    <w:rsid w:val="1D03120E"/>
    <w:rsid w:val="1D0404F5"/>
    <w:rsid w:val="1D1825A1"/>
    <w:rsid w:val="1D1B0F64"/>
    <w:rsid w:val="1D1F7A82"/>
    <w:rsid w:val="1D200548"/>
    <w:rsid w:val="1D2362DA"/>
    <w:rsid w:val="1D260A68"/>
    <w:rsid w:val="1D320706"/>
    <w:rsid w:val="1D320BB1"/>
    <w:rsid w:val="1D474B29"/>
    <w:rsid w:val="1D510145"/>
    <w:rsid w:val="1D545B31"/>
    <w:rsid w:val="1D5D6C61"/>
    <w:rsid w:val="1D6158FE"/>
    <w:rsid w:val="1D626DAD"/>
    <w:rsid w:val="1D6F66E8"/>
    <w:rsid w:val="1D712D1B"/>
    <w:rsid w:val="1D72346D"/>
    <w:rsid w:val="1D752261"/>
    <w:rsid w:val="1D7A7927"/>
    <w:rsid w:val="1D7B49F1"/>
    <w:rsid w:val="1D822EAF"/>
    <w:rsid w:val="1D866358"/>
    <w:rsid w:val="1D9A106E"/>
    <w:rsid w:val="1D9D5A67"/>
    <w:rsid w:val="1DA514FB"/>
    <w:rsid w:val="1DAA4E14"/>
    <w:rsid w:val="1DAB0BAE"/>
    <w:rsid w:val="1DAC34C3"/>
    <w:rsid w:val="1DB06820"/>
    <w:rsid w:val="1DB20852"/>
    <w:rsid w:val="1DB34FE2"/>
    <w:rsid w:val="1DB567D1"/>
    <w:rsid w:val="1DB6267E"/>
    <w:rsid w:val="1DB64CFD"/>
    <w:rsid w:val="1DC04264"/>
    <w:rsid w:val="1DC419F5"/>
    <w:rsid w:val="1DC85027"/>
    <w:rsid w:val="1DCC58EB"/>
    <w:rsid w:val="1DD135C7"/>
    <w:rsid w:val="1DD20954"/>
    <w:rsid w:val="1DD4278B"/>
    <w:rsid w:val="1DD742AB"/>
    <w:rsid w:val="1DDE7AF5"/>
    <w:rsid w:val="1DDF4BA6"/>
    <w:rsid w:val="1DE07B3A"/>
    <w:rsid w:val="1DE41962"/>
    <w:rsid w:val="1DE710A9"/>
    <w:rsid w:val="1DE850C4"/>
    <w:rsid w:val="1DEA12F0"/>
    <w:rsid w:val="1DED5EE1"/>
    <w:rsid w:val="1DEF7F26"/>
    <w:rsid w:val="1DF54CA3"/>
    <w:rsid w:val="1DFA7565"/>
    <w:rsid w:val="1E032D6B"/>
    <w:rsid w:val="1E055695"/>
    <w:rsid w:val="1E0A5FFD"/>
    <w:rsid w:val="1E0C5372"/>
    <w:rsid w:val="1E0E3856"/>
    <w:rsid w:val="1E1400DE"/>
    <w:rsid w:val="1E147D88"/>
    <w:rsid w:val="1E1A49A1"/>
    <w:rsid w:val="1E1A6B98"/>
    <w:rsid w:val="1E1D2E63"/>
    <w:rsid w:val="1E20014B"/>
    <w:rsid w:val="1E2612FC"/>
    <w:rsid w:val="1E2E7594"/>
    <w:rsid w:val="1E352283"/>
    <w:rsid w:val="1E36486D"/>
    <w:rsid w:val="1E37199F"/>
    <w:rsid w:val="1E390557"/>
    <w:rsid w:val="1E3A2978"/>
    <w:rsid w:val="1E3D33B5"/>
    <w:rsid w:val="1E3F18DC"/>
    <w:rsid w:val="1E42597D"/>
    <w:rsid w:val="1E4304E1"/>
    <w:rsid w:val="1E431452"/>
    <w:rsid w:val="1E4425E1"/>
    <w:rsid w:val="1E523459"/>
    <w:rsid w:val="1E5B31B0"/>
    <w:rsid w:val="1E5E2C92"/>
    <w:rsid w:val="1E5F4E4C"/>
    <w:rsid w:val="1E6258AD"/>
    <w:rsid w:val="1E631C0D"/>
    <w:rsid w:val="1E6613F2"/>
    <w:rsid w:val="1E6C6C63"/>
    <w:rsid w:val="1E6E1144"/>
    <w:rsid w:val="1E6F3EE2"/>
    <w:rsid w:val="1E745AFC"/>
    <w:rsid w:val="1E747B9D"/>
    <w:rsid w:val="1E79147C"/>
    <w:rsid w:val="1E7A6930"/>
    <w:rsid w:val="1E7A7348"/>
    <w:rsid w:val="1E84550D"/>
    <w:rsid w:val="1E8C1976"/>
    <w:rsid w:val="1E90796B"/>
    <w:rsid w:val="1E9154B7"/>
    <w:rsid w:val="1E922536"/>
    <w:rsid w:val="1E933AB5"/>
    <w:rsid w:val="1EA23C19"/>
    <w:rsid w:val="1EAA2BD9"/>
    <w:rsid w:val="1EAA32E4"/>
    <w:rsid w:val="1EAF2EBC"/>
    <w:rsid w:val="1EB2460B"/>
    <w:rsid w:val="1EB37282"/>
    <w:rsid w:val="1EBA3A32"/>
    <w:rsid w:val="1EC32536"/>
    <w:rsid w:val="1EC66763"/>
    <w:rsid w:val="1EC67A45"/>
    <w:rsid w:val="1EC87D60"/>
    <w:rsid w:val="1ECA35F9"/>
    <w:rsid w:val="1ECE726F"/>
    <w:rsid w:val="1ECF7AB4"/>
    <w:rsid w:val="1ED776C0"/>
    <w:rsid w:val="1EDE2DBB"/>
    <w:rsid w:val="1EEA359C"/>
    <w:rsid w:val="1EED2277"/>
    <w:rsid w:val="1EF01291"/>
    <w:rsid w:val="1EF06FCE"/>
    <w:rsid w:val="1EF41017"/>
    <w:rsid w:val="1EFB4046"/>
    <w:rsid w:val="1EFD4014"/>
    <w:rsid w:val="1F0029DC"/>
    <w:rsid w:val="1F021B1A"/>
    <w:rsid w:val="1F027566"/>
    <w:rsid w:val="1F083BAB"/>
    <w:rsid w:val="1F0B292B"/>
    <w:rsid w:val="1F127F7C"/>
    <w:rsid w:val="1F1665AF"/>
    <w:rsid w:val="1F1B6253"/>
    <w:rsid w:val="1F20137E"/>
    <w:rsid w:val="1F202D97"/>
    <w:rsid w:val="1F211E44"/>
    <w:rsid w:val="1F237E6E"/>
    <w:rsid w:val="1F402185"/>
    <w:rsid w:val="1F451339"/>
    <w:rsid w:val="1F475735"/>
    <w:rsid w:val="1F476B14"/>
    <w:rsid w:val="1F4A05E9"/>
    <w:rsid w:val="1F52166C"/>
    <w:rsid w:val="1F55683D"/>
    <w:rsid w:val="1F5C583A"/>
    <w:rsid w:val="1F5D2879"/>
    <w:rsid w:val="1F6259ED"/>
    <w:rsid w:val="1F67626E"/>
    <w:rsid w:val="1F6B57CC"/>
    <w:rsid w:val="1F6D7B3A"/>
    <w:rsid w:val="1F800A87"/>
    <w:rsid w:val="1F815464"/>
    <w:rsid w:val="1F875ADB"/>
    <w:rsid w:val="1F8D2230"/>
    <w:rsid w:val="1F8E5764"/>
    <w:rsid w:val="1F920F09"/>
    <w:rsid w:val="1F957C27"/>
    <w:rsid w:val="1F962D7A"/>
    <w:rsid w:val="1F964800"/>
    <w:rsid w:val="1F9D050A"/>
    <w:rsid w:val="1FA046CB"/>
    <w:rsid w:val="1FA07DE8"/>
    <w:rsid w:val="1FA51EE3"/>
    <w:rsid w:val="1FA70933"/>
    <w:rsid w:val="1FAA27D5"/>
    <w:rsid w:val="1FAB1A64"/>
    <w:rsid w:val="1FB021D2"/>
    <w:rsid w:val="1FB55CB2"/>
    <w:rsid w:val="1FBC0453"/>
    <w:rsid w:val="1FBF559A"/>
    <w:rsid w:val="1FC4393D"/>
    <w:rsid w:val="1FC47E6D"/>
    <w:rsid w:val="1FC6038D"/>
    <w:rsid w:val="1FCD0BCD"/>
    <w:rsid w:val="1FD26439"/>
    <w:rsid w:val="1FD51436"/>
    <w:rsid w:val="1FD5568A"/>
    <w:rsid w:val="1FDB2082"/>
    <w:rsid w:val="1FDE5772"/>
    <w:rsid w:val="1FDF7C7D"/>
    <w:rsid w:val="1FE31146"/>
    <w:rsid w:val="1FE60E05"/>
    <w:rsid w:val="1FE9164C"/>
    <w:rsid w:val="1FE973A5"/>
    <w:rsid w:val="1FEA2A45"/>
    <w:rsid w:val="1FED7D3D"/>
    <w:rsid w:val="1FF02C60"/>
    <w:rsid w:val="1FF05776"/>
    <w:rsid w:val="1FF24DDB"/>
    <w:rsid w:val="1FF55D07"/>
    <w:rsid w:val="1FF83E4C"/>
    <w:rsid w:val="1FF92F67"/>
    <w:rsid w:val="1FFB038C"/>
    <w:rsid w:val="200002CA"/>
    <w:rsid w:val="2002083C"/>
    <w:rsid w:val="20166E43"/>
    <w:rsid w:val="201C7532"/>
    <w:rsid w:val="201D3E4A"/>
    <w:rsid w:val="20225092"/>
    <w:rsid w:val="20235957"/>
    <w:rsid w:val="202634EF"/>
    <w:rsid w:val="202A2BB9"/>
    <w:rsid w:val="202B3BCC"/>
    <w:rsid w:val="202B5F60"/>
    <w:rsid w:val="202B74D5"/>
    <w:rsid w:val="202C6EEA"/>
    <w:rsid w:val="202D092B"/>
    <w:rsid w:val="20317149"/>
    <w:rsid w:val="20367E0F"/>
    <w:rsid w:val="20381307"/>
    <w:rsid w:val="203947F4"/>
    <w:rsid w:val="203952C3"/>
    <w:rsid w:val="20493F35"/>
    <w:rsid w:val="2049475D"/>
    <w:rsid w:val="204E5823"/>
    <w:rsid w:val="20502F75"/>
    <w:rsid w:val="2057381C"/>
    <w:rsid w:val="205C3DA2"/>
    <w:rsid w:val="205E5DD6"/>
    <w:rsid w:val="20601D59"/>
    <w:rsid w:val="20607430"/>
    <w:rsid w:val="2069012F"/>
    <w:rsid w:val="2074158E"/>
    <w:rsid w:val="20746A51"/>
    <w:rsid w:val="20803A1B"/>
    <w:rsid w:val="20804796"/>
    <w:rsid w:val="20804828"/>
    <w:rsid w:val="209317FE"/>
    <w:rsid w:val="20A16D15"/>
    <w:rsid w:val="20A5339C"/>
    <w:rsid w:val="20A71C05"/>
    <w:rsid w:val="20A77542"/>
    <w:rsid w:val="20AF293B"/>
    <w:rsid w:val="20B11DBB"/>
    <w:rsid w:val="20B97415"/>
    <w:rsid w:val="20C1100F"/>
    <w:rsid w:val="20C433FF"/>
    <w:rsid w:val="20C44E20"/>
    <w:rsid w:val="20C719D5"/>
    <w:rsid w:val="20CB3D82"/>
    <w:rsid w:val="20CC4FC9"/>
    <w:rsid w:val="20CE1607"/>
    <w:rsid w:val="20D34AD9"/>
    <w:rsid w:val="20D414D9"/>
    <w:rsid w:val="20DB7945"/>
    <w:rsid w:val="20E03A73"/>
    <w:rsid w:val="20E33167"/>
    <w:rsid w:val="20E34908"/>
    <w:rsid w:val="20F81A9F"/>
    <w:rsid w:val="20FC3A54"/>
    <w:rsid w:val="2103721C"/>
    <w:rsid w:val="210D1148"/>
    <w:rsid w:val="21110FF5"/>
    <w:rsid w:val="21156A8B"/>
    <w:rsid w:val="21170564"/>
    <w:rsid w:val="2123106B"/>
    <w:rsid w:val="212447D8"/>
    <w:rsid w:val="212A20E7"/>
    <w:rsid w:val="212F076E"/>
    <w:rsid w:val="212F2CFC"/>
    <w:rsid w:val="213055FB"/>
    <w:rsid w:val="213429ED"/>
    <w:rsid w:val="21370700"/>
    <w:rsid w:val="213F025F"/>
    <w:rsid w:val="213F5F96"/>
    <w:rsid w:val="214E0065"/>
    <w:rsid w:val="21515DFC"/>
    <w:rsid w:val="21525BFD"/>
    <w:rsid w:val="215927F6"/>
    <w:rsid w:val="21611EA1"/>
    <w:rsid w:val="21620919"/>
    <w:rsid w:val="21633974"/>
    <w:rsid w:val="216962C1"/>
    <w:rsid w:val="216F0DB5"/>
    <w:rsid w:val="21730B7C"/>
    <w:rsid w:val="217437B5"/>
    <w:rsid w:val="217C3AE1"/>
    <w:rsid w:val="217E1FA4"/>
    <w:rsid w:val="217F63B3"/>
    <w:rsid w:val="218215FB"/>
    <w:rsid w:val="218F5679"/>
    <w:rsid w:val="219275D5"/>
    <w:rsid w:val="21936439"/>
    <w:rsid w:val="21954685"/>
    <w:rsid w:val="21A47581"/>
    <w:rsid w:val="21A95E6A"/>
    <w:rsid w:val="21AB24AF"/>
    <w:rsid w:val="21AD609A"/>
    <w:rsid w:val="21AF6D88"/>
    <w:rsid w:val="21B05682"/>
    <w:rsid w:val="21C1320C"/>
    <w:rsid w:val="21C61C41"/>
    <w:rsid w:val="21C77961"/>
    <w:rsid w:val="21CD1951"/>
    <w:rsid w:val="21CF1CFE"/>
    <w:rsid w:val="21D154C6"/>
    <w:rsid w:val="21D16A2C"/>
    <w:rsid w:val="21DE54D0"/>
    <w:rsid w:val="21DF169B"/>
    <w:rsid w:val="21E27E3B"/>
    <w:rsid w:val="21E944FD"/>
    <w:rsid w:val="22026FD8"/>
    <w:rsid w:val="22062DDD"/>
    <w:rsid w:val="22077194"/>
    <w:rsid w:val="22090885"/>
    <w:rsid w:val="220A262B"/>
    <w:rsid w:val="22213B31"/>
    <w:rsid w:val="22214D1D"/>
    <w:rsid w:val="22316616"/>
    <w:rsid w:val="22371FFA"/>
    <w:rsid w:val="22492001"/>
    <w:rsid w:val="224E5953"/>
    <w:rsid w:val="224F2F9C"/>
    <w:rsid w:val="22560E80"/>
    <w:rsid w:val="225D544E"/>
    <w:rsid w:val="225E0AA8"/>
    <w:rsid w:val="2265130F"/>
    <w:rsid w:val="226D51C7"/>
    <w:rsid w:val="22736115"/>
    <w:rsid w:val="228306A6"/>
    <w:rsid w:val="22893945"/>
    <w:rsid w:val="228B247F"/>
    <w:rsid w:val="228B2DE5"/>
    <w:rsid w:val="228E3908"/>
    <w:rsid w:val="229250BF"/>
    <w:rsid w:val="2295299A"/>
    <w:rsid w:val="22A0310A"/>
    <w:rsid w:val="22A36271"/>
    <w:rsid w:val="22AA133C"/>
    <w:rsid w:val="22AD4A99"/>
    <w:rsid w:val="22AF314E"/>
    <w:rsid w:val="22BB5420"/>
    <w:rsid w:val="22CB7460"/>
    <w:rsid w:val="22D03613"/>
    <w:rsid w:val="22DC5FEF"/>
    <w:rsid w:val="22E00278"/>
    <w:rsid w:val="22E660CA"/>
    <w:rsid w:val="22EA690F"/>
    <w:rsid w:val="22EB5D4E"/>
    <w:rsid w:val="22F13CDB"/>
    <w:rsid w:val="22F3657B"/>
    <w:rsid w:val="22FD02F0"/>
    <w:rsid w:val="22FD2C6E"/>
    <w:rsid w:val="23043A02"/>
    <w:rsid w:val="23080822"/>
    <w:rsid w:val="23087BBC"/>
    <w:rsid w:val="230916A9"/>
    <w:rsid w:val="230C2BB9"/>
    <w:rsid w:val="230D796E"/>
    <w:rsid w:val="231504DA"/>
    <w:rsid w:val="23175176"/>
    <w:rsid w:val="231967D8"/>
    <w:rsid w:val="23204472"/>
    <w:rsid w:val="23251DEB"/>
    <w:rsid w:val="23284364"/>
    <w:rsid w:val="232A1EAD"/>
    <w:rsid w:val="232D3CA8"/>
    <w:rsid w:val="233213B7"/>
    <w:rsid w:val="233C38F9"/>
    <w:rsid w:val="23405809"/>
    <w:rsid w:val="23412526"/>
    <w:rsid w:val="234167FB"/>
    <w:rsid w:val="234418BF"/>
    <w:rsid w:val="2345161F"/>
    <w:rsid w:val="23467AE4"/>
    <w:rsid w:val="234A1EDC"/>
    <w:rsid w:val="234B201E"/>
    <w:rsid w:val="234E2F37"/>
    <w:rsid w:val="2351745C"/>
    <w:rsid w:val="235222BA"/>
    <w:rsid w:val="2358790C"/>
    <w:rsid w:val="235A3438"/>
    <w:rsid w:val="235F25A9"/>
    <w:rsid w:val="235F5576"/>
    <w:rsid w:val="23654A00"/>
    <w:rsid w:val="236C0BB9"/>
    <w:rsid w:val="236F6CA1"/>
    <w:rsid w:val="23726A4F"/>
    <w:rsid w:val="23786733"/>
    <w:rsid w:val="237942B8"/>
    <w:rsid w:val="237A0BCC"/>
    <w:rsid w:val="237A71F3"/>
    <w:rsid w:val="237B3F50"/>
    <w:rsid w:val="237F5165"/>
    <w:rsid w:val="237F7214"/>
    <w:rsid w:val="23864461"/>
    <w:rsid w:val="238828CD"/>
    <w:rsid w:val="23911850"/>
    <w:rsid w:val="239B1D0A"/>
    <w:rsid w:val="23A243D5"/>
    <w:rsid w:val="23A527DC"/>
    <w:rsid w:val="23A540DA"/>
    <w:rsid w:val="23A66042"/>
    <w:rsid w:val="23A81B5D"/>
    <w:rsid w:val="23AD5205"/>
    <w:rsid w:val="23B02D87"/>
    <w:rsid w:val="23B11452"/>
    <w:rsid w:val="23B25D1F"/>
    <w:rsid w:val="23B81271"/>
    <w:rsid w:val="23B82191"/>
    <w:rsid w:val="23BA463F"/>
    <w:rsid w:val="23BD4301"/>
    <w:rsid w:val="23C866C3"/>
    <w:rsid w:val="23C92D0D"/>
    <w:rsid w:val="23D70AB2"/>
    <w:rsid w:val="23DF415F"/>
    <w:rsid w:val="23DF447B"/>
    <w:rsid w:val="23E002A8"/>
    <w:rsid w:val="23E01349"/>
    <w:rsid w:val="23E755AD"/>
    <w:rsid w:val="23E872EF"/>
    <w:rsid w:val="23F2275B"/>
    <w:rsid w:val="23F66397"/>
    <w:rsid w:val="23FB4828"/>
    <w:rsid w:val="23FD53D2"/>
    <w:rsid w:val="23FE6508"/>
    <w:rsid w:val="24043978"/>
    <w:rsid w:val="2404633A"/>
    <w:rsid w:val="24073581"/>
    <w:rsid w:val="240B1FD4"/>
    <w:rsid w:val="24190B4F"/>
    <w:rsid w:val="24196628"/>
    <w:rsid w:val="241E1231"/>
    <w:rsid w:val="24222582"/>
    <w:rsid w:val="24225B7B"/>
    <w:rsid w:val="242654F8"/>
    <w:rsid w:val="242736E1"/>
    <w:rsid w:val="24321DA3"/>
    <w:rsid w:val="24374414"/>
    <w:rsid w:val="24442C6D"/>
    <w:rsid w:val="244F4BE2"/>
    <w:rsid w:val="24532158"/>
    <w:rsid w:val="24554CEB"/>
    <w:rsid w:val="245577FB"/>
    <w:rsid w:val="24567E8B"/>
    <w:rsid w:val="2457032B"/>
    <w:rsid w:val="245C6C9A"/>
    <w:rsid w:val="245D0EC9"/>
    <w:rsid w:val="245D4F89"/>
    <w:rsid w:val="24673AD0"/>
    <w:rsid w:val="247312EC"/>
    <w:rsid w:val="24762C27"/>
    <w:rsid w:val="24782D37"/>
    <w:rsid w:val="247D00DD"/>
    <w:rsid w:val="24850DBC"/>
    <w:rsid w:val="24927A24"/>
    <w:rsid w:val="24966189"/>
    <w:rsid w:val="24A12297"/>
    <w:rsid w:val="24AA5E95"/>
    <w:rsid w:val="24AA70E0"/>
    <w:rsid w:val="24AD641D"/>
    <w:rsid w:val="24BC4668"/>
    <w:rsid w:val="24C11698"/>
    <w:rsid w:val="24C37EC8"/>
    <w:rsid w:val="24C92397"/>
    <w:rsid w:val="24CE6347"/>
    <w:rsid w:val="24D01C5C"/>
    <w:rsid w:val="24D147BE"/>
    <w:rsid w:val="24D36997"/>
    <w:rsid w:val="24E43D47"/>
    <w:rsid w:val="24EA203D"/>
    <w:rsid w:val="24EC1498"/>
    <w:rsid w:val="24EE07A2"/>
    <w:rsid w:val="24EF3FE3"/>
    <w:rsid w:val="24F000B7"/>
    <w:rsid w:val="24F05055"/>
    <w:rsid w:val="24F14CCB"/>
    <w:rsid w:val="24F547DB"/>
    <w:rsid w:val="24FB1299"/>
    <w:rsid w:val="24FB3B1C"/>
    <w:rsid w:val="25010BA6"/>
    <w:rsid w:val="25026746"/>
    <w:rsid w:val="25083BC5"/>
    <w:rsid w:val="251123CB"/>
    <w:rsid w:val="25154094"/>
    <w:rsid w:val="251F62D8"/>
    <w:rsid w:val="252235EC"/>
    <w:rsid w:val="252D1D4D"/>
    <w:rsid w:val="252E5126"/>
    <w:rsid w:val="25384390"/>
    <w:rsid w:val="25481E5D"/>
    <w:rsid w:val="25501EB4"/>
    <w:rsid w:val="25550438"/>
    <w:rsid w:val="255806A7"/>
    <w:rsid w:val="255B30EF"/>
    <w:rsid w:val="25601ADE"/>
    <w:rsid w:val="2563210F"/>
    <w:rsid w:val="25640F35"/>
    <w:rsid w:val="256A250E"/>
    <w:rsid w:val="256A29EC"/>
    <w:rsid w:val="256A6E1D"/>
    <w:rsid w:val="25734556"/>
    <w:rsid w:val="25780BFC"/>
    <w:rsid w:val="257A311D"/>
    <w:rsid w:val="25806244"/>
    <w:rsid w:val="258F7A18"/>
    <w:rsid w:val="25923216"/>
    <w:rsid w:val="259263C8"/>
    <w:rsid w:val="259507D9"/>
    <w:rsid w:val="259D4BD6"/>
    <w:rsid w:val="25A02991"/>
    <w:rsid w:val="25A333FE"/>
    <w:rsid w:val="25A5263E"/>
    <w:rsid w:val="25A56669"/>
    <w:rsid w:val="25A64D62"/>
    <w:rsid w:val="25AA6649"/>
    <w:rsid w:val="25B06ED4"/>
    <w:rsid w:val="25B41E1C"/>
    <w:rsid w:val="25B8316B"/>
    <w:rsid w:val="25BC6825"/>
    <w:rsid w:val="25BE2784"/>
    <w:rsid w:val="25C2579A"/>
    <w:rsid w:val="25C46F25"/>
    <w:rsid w:val="25C94963"/>
    <w:rsid w:val="25CB44B6"/>
    <w:rsid w:val="25CC3086"/>
    <w:rsid w:val="25CD6463"/>
    <w:rsid w:val="25DD2BE0"/>
    <w:rsid w:val="25DF4E7D"/>
    <w:rsid w:val="25E12C3D"/>
    <w:rsid w:val="25E26E33"/>
    <w:rsid w:val="25E81F72"/>
    <w:rsid w:val="25EA6057"/>
    <w:rsid w:val="25EE3A79"/>
    <w:rsid w:val="25F73961"/>
    <w:rsid w:val="26052E0D"/>
    <w:rsid w:val="26060A62"/>
    <w:rsid w:val="26077C29"/>
    <w:rsid w:val="260C67CB"/>
    <w:rsid w:val="26105116"/>
    <w:rsid w:val="261C64F9"/>
    <w:rsid w:val="262955BE"/>
    <w:rsid w:val="26332E86"/>
    <w:rsid w:val="26385A30"/>
    <w:rsid w:val="263A3341"/>
    <w:rsid w:val="263D4AB7"/>
    <w:rsid w:val="263E463C"/>
    <w:rsid w:val="263E6961"/>
    <w:rsid w:val="263F5903"/>
    <w:rsid w:val="26405F02"/>
    <w:rsid w:val="2641540B"/>
    <w:rsid w:val="2643407E"/>
    <w:rsid w:val="26496E8B"/>
    <w:rsid w:val="264F7466"/>
    <w:rsid w:val="26513CA4"/>
    <w:rsid w:val="26522D90"/>
    <w:rsid w:val="26523F5D"/>
    <w:rsid w:val="2655722C"/>
    <w:rsid w:val="265C0034"/>
    <w:rsid w:val="265C072F"/>
    <w:rsid w:val="265C0B6E"/>
    <w:rsid w:val="265E47D6"/>
    <w:rsid w:val="265E5072"/>
    <w:rsid w:val="26636BC5"/>
    <w:rsid w:val="26653F60"/>
    <w:rsid w:val="266C2FED"/>
    <w:rsid w:val="266C73C4"/>
    <w:rsid w:val="26846723"/>
    <w:rsid w:val="2686674F"/>
    <w:rsid w:val="268D2BF7"/>
    <w:rsid w:val="268F5D5F"/>
    <w:rsid w:val="26952F8A"/>
    <w:rsid w:val="26977E69"/>
    <w:rsid w:val="2698771D"/>
    <w:rsid w:val="269A3E3A"/>
    <w:rsid w:val="269D0779"/>
    <w:rsid w:val="269E7702"/>
    <w:rsid w:val="26A332F4"/>
    <w:rsid w:val="26A431DF"/>
    <w:rsid w:val="26A81342"/>
    <w:rsid w:val="26A94888"/>
    <w:rsid w:val="26AE2C80"/>
    <w:rsid w:val="26B57901"/>
    <w:rsid w:val="26B669B3"/>
    <w:rsid w:val="26BE7476"/>
    <w:rsid w:val="26C25A35"/>
    <w:rsid w:val="26CA7CA4"/>
    <w:rsid w:val="26D30451"/>
    <w:rsid w:val="26D37226"/>
    <w:rsid w:val="26D9079A"/>
    <w:rsid w:val="26DF2E31"/>
    <w:rsid w:val="26E86A66"/>
    <w:rsid w:val="26F50242"/>
    <w:rsid w:val="26F8061F"/>
    <w:rsid w:val="27044192"/>
    <w:rsid w:val="270458E3"/>
    <w:rsid w:val="270869FB"/>
    <w:rsid w:val="27132E10"/>
    <w:rsid w:val="27143A39"/>
    <w:rsid w:val="272275A8"/>
    <w:rsid w:val="27241C2B"/>
    <w:rsid w:val="27244FD2"/>
    <w:rsid w:val="272827A3"/>
    <w:rsid w:val="272A776A"/>
    <w:rsid w:val="273262E5"/>
    <w:rsid w:val="27371D5E"/>
    <w:rsid w:val="274230E9"/>
    <w:rsid w:val="274A0073"/>
    <w:rsid w:val="27593724"/>
    <w:rsid w:val="275E5D63"/>
    <w:rsid w:val="276713A6"/>
    <w:rsid w:val="276A2644"/>
    <w:rsid w:val="276A4283"/>
    <w:rsid w:val="276D0E5F"/>
    <w:rsid w:val="27723EAB"/>
    <w:rsid w:val="27760A6A"/>
    <w:rsid w:val="277C6B28"/>
    <w:rsid w:val="277E412E"/>
    <w:rsid w:val="27813FA4"/>
    <w:rsid w:val="27840198"/>
    <w:rsid w:val="27861FCF"/>
    <w:rsid w:val="2786405E"/>
    <w:rsid w:val="27896B08"/>
    <w:rsid w:val="278E4C12"/>
    <w:rsid w:val="27903C54"/>
    <w:rsid w:val="279B6365"/>
    <w:rsid w:val="27A06197"/>
    <w:rsid w:val="27A414B5"/>
    <w:rsid w:val="27B22C83"/>
    <w:rsid w:val="27B2689F"/>
    <w:rsid w:val="27B723AC"/>
    <w:rsid w:val="27DB299E"/>
    <w:rsid w:val="27DB4DA4"/>
    <w:rsid w:val="27DF1AF0"/>
    <w:rsid w:val="27E07E0B"/>
    <w:rsid w:val="27E910C0"/>
    <w:rsid w:val="27F43ED1"/>
    <w:rsid w:val="27F603D0"/>
    <w:rsid w:val="27F8642A"/>
    <w:rsid w:val="27FC123A"/>
    <w:rsid w:val="27FD0BFD"/>
    <w:rsid w:val="280A49AF"/>
    <w:rsid w:val="280C3A3D"/>
    <w:rsid w:val="281211EA"/>
    <w:rsid w:val="282628ED"/>
    <w:rsid w:val="282E47E2"/>
    <w:rsid w:val="282F7158"/>
    <w:rsid w:val="283A27FC"/>
    <w:rsid w:val="283A7651"/>
    <w:rsid w:val="283E45A0"/>
    <w:rsid w:val="28424645"/>
    <w:rsid w:val="28432F07"/>
    <w:rsid w:val="28451F0D"/>
    <w:rsid w:val="28460DC9"/>
    <w:rsid w:val="284C69E2"/>
    <w:rsid w:val="284E7272"/>
    <w:rsid w:val="284F7F70"/>
    <w:rsid w:val="28512FC3"/>
    <w:rsid w:val="28561365"/>
    <w:rsid w:val="285C1422"/>
    <w:rsid w:val="285F2AD8"/>
    <w:rsid w:val="28635D8E"/>
    <w:rsid w:val="2867393A"/>
    <w:rsid w:val="28675167"/>
    <w:rsid w:val="286D7340"/>
    <w:rsid w:val="2874282A"/>
    <w:rsid w:val="28761D91"/>
    <w:rsid w:val="28821204"/>
    <w:rsid w:val="28851C07"/>
    <w:rsid w:val="288F00A6"/>
    <w:rsid w:val="28977A18"/>
    <w:rsid w:val="289F2B89"/>
    <w:rsid w:val="28A64B96"/>
    <w:rsid w:val="28AA121B"/>
    <w:rsid w:val="28AD5D02"/>
    <w:rsid w:val="28B22CB0"/>
    <w:rsid w:val="28B40D42"/>
    <w:rsid w:val="28B629CD"/>
    <w:rsid w:val="28BF51A3"/>
    <w:rsid w:val="28C331EE"/>
    <w:rsid w:val="28C42747"/>
    <w:rsid w:val="28D06AED"/>
    <w:rsid w:val="28D66970"/>
    <w:rsid w:val="28DD56C2"/>
    <w:rsid w:val="28DE5168"/>
    <w:rsid w:val="28DF6B08"/>
    <w:rsid w:val="28E03FA5"/>
    <w:rsid w:val="28E20FC7"/>
    <w:rsid w:val="28E34F3E"/>
    <w:rsid w:val="28E91254"/>
    <w:rsid w:val="28EA2613"/>
    <w:rsid w:val="28EB216B"/>
    <w:rsid w:val="28F01F79"/>
    <w:rsid w:val="28F2275F"/>
    <w:rsid w:val="28FA070F"/>
    <w:rsid w:val="28FB4CE2"/>
    <w:rsid w:val="28FC0DC6"/>
    <w:rsid w:val="29003D01"/>
    <w:rsid w:val="29097506"/>
    <w:rsid w:val="29140F7E"/>
    <w:rsid w:val="291E14D0"/>
    <w:rsid w:val="292141CD"/>
    <w:rsid w:val="29225724"/>
    <w:rsid w:val="2927069E"/>
    <w:rsid w:val="29272F31"/>
    <w:rsid w:val="293053D7"/>
    <w:rsid w:val="2935621E"/>
    <w:rsid w:val="293702EE"/>
    <w:rsid w:val="293B2202"/>
    <w:rsid w:val="293E67B4"/>
    <w:rsid w:val="29406861"/>
    <w:rsid w:val="29423101"/>
    <w:rsid w:val="29465BCE"/>
    <w:rsid w:val="29556D07"/>
    <w:rsid w:val="29562850"/>
    <w:rsid w:val="29631F6C"/>
    <w:rsid w:val="29663943"/>
    <w:rsid w:val="296D5DD0"/>
    <w:rsid w:val="29726B72"/>
    <w:rsid w:val="2973667D"/>
    <w:rsid w:val="2974130A"/>
    <w:rsid w:val="297A107C"/>
    <w:rsid w:val="2984463B"/>
    <w:rsid w:val="29864336"/>
    <w:rsid w:val="298B2556"/>
    <w:rsid w:val="299E42F7"/>
    <w:rsid w:val="299F2677"/>
    <w:rsid w:val="29A26046"/>
    <w:rsid w:val="29A36A34"/>
    <w:rsid w:val="29A7723D"/>
    <w:rsid w:val="29AB6671"/>
    <w:rsid w:val="29AE0E07"/>
    <w:rsid w:val="29AF21C6"/>
    <w:rsid w:val="29B132F7"/>
    <w:rsid w:val="29B46956"/>
    <w:rsid w:val="29B6171F"/>
    <w:rsid w:val="29B64855"/>
    <w:rsid w:val="29BC35F9"/>
    <w:rsid w:val="29BD49C8"/>
    <w:rsid w:val="29BF0C07"/>
    <w:rsid w:val="29C0700E"/>
    <w:rsid w:val="29C1377E"/>
    <w:rsid w:val="29C94C02"/>
    <w:rsid w:val="29CD7CD6"/>
    <w:rsid w:val="29D933B1"/>
    <w:rsid w:val="29DC2B8C"/>
    <w:rsid w:val="29E86F00"/>
    <w:rsid w:val="29EC12F4"/>
    <w:rsid w:val="29F41BD7"/>
    <w:rsid w:val="29F93854"/>
    <w:rsid w:val="29F95482"/>
    <w:rsid w:val="2A0207FA"/>
    <w:rsid w:val="2A0E2139"/>
    <w:rsid w:val="2A0F2DC3"/>
    <w:rsid w:val="2A1531E5"/>
    <w:rsid w:val="2A1578FD"/>
    <w:rsid w:val="2A16452A"/>
    <w:rsid w:val="2A1D4BEC"/>
    <w:rsid w:val="2A1E3338"/>
    <w:rsid w:val="2A254A47"/>
    <w:rsid w:val="2A300C9A"/>
    <w:rsid w:val="2A36106C"/>
    <w:rsid w:val="2A3B1B46"/>
    <w:rsid w:val="2A484B97"/>
    <w:rsid w:val="2A4E5125"/>
    <w:rsid w:val="2A50768C"/>
    <w:rsid w:val="2A550697"/>
    <w:rsid w:val="2A554F01"/>
    <w:rsid w:val="2A602193"/>
    <w:rsid w:val="2A617ACD"/>
    <w:rsid w:val="2A690901"/>
    <w:rsid w:val="2A6E6532"/>
    <w:rsid w:val="2A7031D9"/>
    <w:rsid w:val="2A724C87"/>
    <w:rsid w:val="2A784C61"/>
    <w:rsid w:val="2A7E6F30"/>
    <w:rsid w:val="2A814C61"/>
    <w:rsid w:val="2A8364E6"/>
    <w:rsid w:val="2A864429"/>
    <w:rsid w:val="2A8710C5"/>
    <w:rsid w:val="2A877817"/>
    <w:rsid w:val="2A895AEF"/>
    <w:rsid w:val="2A8F590D"/>
    <w:rsid w:val="2A961365"/>
    <w:rsid w:val="2A9A55F3"/>
    <w:rsid w:val="2A9D2CC3"/>
    <w:rsid w:val="2AA01FBE"/>
    <w:rsid w:val="2AA778FA"/>
    <w:rsid w:val="2AB16D71"/>
    <w:rsid w:val="2AB97886"/>
    <w:rsid w:val="2AC12295"/>
    <w:rsid w:val="2AC23521"/>
    <w:rsid w:val="2AC72A47"/>
    <w:rsid w:val="2ACD4FF4"/>
    <w:rsid w:val="2AD3329B"/>
    <w:rsid w:val="2AD43530"/>
    <w:rsid w:val="2AD44AE8"/>
    <w:rsid w:val="2AD95CDF"/>
    <w:rsid w:val="2ADE4EA8"/>
    <w:rsid w:val="2AE61D72"/>
    <w:rsid w:val="2AF10903"/>
    <w:rsid w:val="2AF62BC3"/>
    <w:rsid w:val="2AF92DF7"/>
    <w:rsid w:val="2AFC22E1"/>
    <w:rsid w:val="2AFC2B8F"/>
    <w:rsid w:val="2AFD6F2E"/>
    <w:rsid w:val="2B011363"/>
    <w:rsid w:val="2B04163C"/>
    <w:rsid w:val="2B0749F3"/>
    <w:rsid w:val="2B08598F"/>
    <w:rsid w:val="2B0C0DC5"/>
    <w:rsid w:val="2B103E1D"/>
    <w:rsid w:val="2B1D4F57"/>
    <w:rsid w:val="2B201319"/>
    <w:rsid w:val="2B211A85"/>
    <w:rsid w:val="2B230453"/>
    <w:rsid w:val="2B230FF6"/>
    <w:rsid w:val="2B241BEA"/>
    <w:rsid w:val="2B340617"/>
    <w:rsid w:val="2B387204"/>
    <w:rsid w:val="2B3A0342"/>
    <w:rsid w:val="2B3E7EFE"/>
    <w:rsid w:val="2B4E5799"/>
    <w:rsid w:val="2B530899"/>
    <w:rsid w:val="2B5878D8"/>
    <w:rsid w:val="2B5904F5"/>
    <w:rsid w:val="2B5A0522"/>
    <w:rsid w:val="2B5A0AEA"/>
    <w:rsid w:val="2B5A2642"/>
    <w:rsid w:val="2B61581B"/>
    <w:rsid w:val="2B650C9E"/>
    <w:rsid w:val="2B731BDE"/>
    <w:rsid w:val="2B754792"/>
    <w:rsid w:val="2B762CDF"/>
    <w:rsid w:val="2B7B6B6B"/>
    <w:rsid w:val="2B7D794F"/>
    <w:rsid w:val="2B7E486F"/>
    <w:rsid w:val="2B814DCE"/>
    <w:rsid w:val="2B9338AF"/>
    <w:rsid w:val="2B96423C"/>
    <w:rsid w:val="2B9B7D48"/>
    <w:rsid w:val="2B9F3185"/>
    <w:rsid w:val="2BA127B5"/>
    <w:rsid w:val="2BA408AA"/>
    <w:rsid w:val="2BA62006"/>
    <w:rsid w:val="2BA64264"/>
    <w:rsid w:val="2BA64D8D"/>
    <w:rsid w:val="2BAB6DD4"/>
    <w:rsid w:val="2BAE7101"/>
    <w:rsid w:val="2BB87175"/>
    <w:rsid w:val="2BB9137E"/>
    <w:rsid w:val="2BBC24DC"/>
    <w:rsid w:val="2BC17537"/>
    <w:rsid w:val="2BCA6924"/>
    <w:rsid w:val="2BCF6247"/>
    <w:rsid w:val="2BD35D07"/>
    <w:rsid w:val="2BE37908"/>
    <w:rsid w:val="2BE46E35"/>
    <w:rsid w:val="2BE739C5"/>
    <w:rsid w:val="2BF80432"/>
    <w:rsid w:val="2BFD22FB"/>
    <w:rsid w:val="2C04777D"/>
    <w:rsid w:val="2C082797"/>
    <w:rsid w:val="2C15596A"/>
    <w:rsid w:val="2C174389"/>
    <w:rsid w:val="2C1A1B3E"/>
    <w:rsid w:val="2C1A3B47"/>
    <w:rsid w:val="2C212C35"/>
    <w:rsid w:val="2C2B252A"/>
    <w:rsid w:val="2C2E36DA"/>
    <w:rsid w:val="2C2F53E3"/>
    <w:rsid w:val="2C335536"/>
    <w:rsid w:val="2C36289D"/>
    <w:rsid w:val="2C365233"/>
    <w:rsid w:val="2C3E0F57"/>
    <w:rsid w:val="2C3E48EC"/>
    <w:rsid w:val="2C4053DC"/>
    <w:rsid w:val="2C40775A"/>
    <w:rsid w:val="2C411B73"/>
    <w:rsid w:val="2C4445BA"/>
    <w:rsid w:val="2C501872"/>
    <w:rsid w:val="2C511F94"/>
    <w:rsid w:val="2C587740"/>
    <w:rsid w:val="2C5B6383"/>
    <w:rsid w:val="2C611B4A"/>
    <w:rsid w:val="2C6344BB"/>
    <w:rsid w:val="2C6867CC"/>
    <w:rsid w:val="2C786F9A"/>
    <w:rsid w:val="2C7A6DC8"/>
    <w:rsid w:val="2C7B76E4"/>
    <w:rsid w:val="2C7C5F6A"/>
    <w:rsid w:val="2C7E7A47"/>
    <w:rsid w:val="2C8075E0"/>
    <w:rsid w:val="2C81513F"/>
    <w:rsid w:val="2C850871"/>
    <w:rsid w:val="2C883F72"/>
    <w:rsid w:val="2C897FC7"/>
    <w:rsid w:val="2C8C06E7"/>
    <w:rsid w:val="2C925498"/>
    <w:rsid w:val="2C960DFB"/>
    <w:rsid w:val="2C9C320C"/>
    <w:rsid w:val="2C9C5EB9"/>
    <w:rsid w:val="2C9D4526"/>
    <w:rsid w:val="2C9D5C0A"/>
    <w:rsid w:val="2CA0344E"/>
    <w:rsid w:val="2CAA4FCF"/>
    <w:rsid w:val="2CAB09ED"/>
    <w:rsid w:val="2CBD7CDB"/>
    <w:rsid w:val="2CC02D3D"/>
    <w:rsid w:val="2CC4558A"/>
    <w:rsid w:val="2CCE1EFC"/>
    <w:rsid w:val="2CD003BF"/>
    <w:rsid w:val="2CD16562"/>
    <w:rsid w:val="2CE45913"/>
    <w:rsid w:val="2CE834C2"/>
    <w:rsid w:val="2CE93CC8"/>
    <w:rsid w:val="2CEA3339"/>
    <w:rsid w:val="2CEF0E94"/>
    <w:rsid w:val="2CF00627"/>
    <w:rsid w:val="2CF14FB9"/>
    <w:rsid w:val="2CF20B98"/>
    <w:rsid w:val="2CF41F17"/>
    <w:rsid w:val="2CF85525"/>
    <w:rsid w:val="2D01438A"/>
    <w:rsid w:val="2D0C5A90"/>
    <w:rsid w:val="2D124D1B"/>
    <w:rsid w:val="2D131B62"/>
    <w:rsid w:val="2D1C7619"/>
    <w:rsid w:val="2D206A3A"/>
    <w:rsid w:val="2D231208"/>
    <w:rsid w:val="2D282B05"/>
    <w:rsid w:val="2D3262A6"/>
    <w:rsid w:val="2D331D20"/>
    <w:rsid w:val="2D332CBE"/>
    <w:rsid w:val="2D355B4F"/>
    <w:rsid w:val="2D3A2A8F"/>
    <w:rsid w:val="2D3B4814"/>
    <w:rsid w:val="2D3E1802"/>
    <w:rsid w:val="2D4148D2"/>
    <w:rsid w:val="2D532097"/>
    <w:rsid w:val="2D5337D2"/>
    <w:rsid w:val="2D5A4B60"/>
    <w:rsid w:val="2D674FFB"/>
    <w:rsid w:val="2D6A708D"/>
    <w:rsid w:val="2D7260C3"/>
    <w:rsid w:val="2D746A08"/>
    <w:rsid w:val="2D7A5F44"/>
    <w:rsid w:val="2D7E18ED"/>
    <w:rsid w:val="2D817FF8"/>
    <w:rsid w:val="2D840689"/>
    <w:rsid w:val="2D896686"/>
    <w:rsid w:val="2D8E3595"/>
    <w:rsid w:val="2D9275DE"/>
    <w:rsid w:val="2D96106C"/>
    <w:rsid w:val="2D9B01EF"/>
    <w:rsid w:val="2D9C4F43"/>
    <w:rsid w:val="2D9C7437"/>
    <w:rsid w:val="2D9E7D03"/>
    <w:rsid w:val="2D9F0A5B"/>
    <w:rsid w:val="2DA04F75"/>
    <w:rsid w:val="2DA166D0"/>
    <w:rsid w:val="2DAA35C4"/>
    <w:rsid w:val="2DAC7C98"/>
    <w:rsid w:val="2DAD2525"/>
    <w:rsid w:val="2DAE2CE4"/>
    <w:rsid w:val="2DAE4373"/>
    <w:rsid w:val="2DB121ED"/>
    <w:rsid w:val="2DB3003E"/>
    <w:rsid w:val="2DBA0454"/>
    <w:rsid w:val="2DBD6DB0"/>
    <w:rsid w:val="2DC356B2"/>
    <w:rsid w:val="2DC92540"/>
    <w:rsid w:val="2DD135A6"/>
    <w:rsid w:val="2DD5744F"/>
    <w:rsid w:val="2DDF2459"/>
    <w:rsid w:val="2DE22186"/>
    <w:rsid w:val="2DE41165"/>
    <w:rsid w:val="2DE550AC"/>
    <w:rsid w:val="2DF01FDC"/>
    <w:rsid w:val="2DF15FD5"/>
    <w:rsid w:val="2DF224C8"/>
    <w:rsid w:val="2DF52900"/>
    <w:rsid w:val="2DF53819"/>
    <w:rsid w:val="2DF900C0"/>
    <w:rsid w:val="2DFC3C4D"/>
    <w:rsid w:val="2DFE5259"/>
    <w:rsid w:val="2E16163C"/>
    <w:rsid w:val="2E242A7B"/>
    <w:rsid w:val="2E332E03"/>
    <w:rsid w:val="2E352A9F"/>
    <w:rsid w:val="2E364C43"/>
    <w:rsid w:val="2E397087"/>
    <w:rsid w:val="2E3B56BE"/>
    <w:rsid w:val="2E3F47CF"/>
    <w:rsid w:val="2E443BE4"/>
    <w:rsid w:val="2E4D76B6"/>
    <w:rsid w:val="2E5137E3"/>
    <w:rsid w:val="2E537AB5"/>
    <w:rsid w:val="2E5529E0"/>
    <w:rsid w:val="2E6513AA"/>
    <w:rsid w:val="2E6B1ADF"/>
    <w:rsid w:val="2E744F6C"/>
    <w:rsid w:val="2E8D427C"/>
    <w:rsid w:val="2E935DEC"/>
    <w:rsid w:val="2E975040"/>
    <w:rsid w:val="2E9751BB"/>
    <w:rsid w:val="2EA57252"/>
    <w:rsid w:val="2EA93328"/>
    <w:rsid w:val="2EA93774"/>
    <w:rsid w:val="2EAD2D67"/>
    <w:rsid w:val="2EAF0E53"/>
    <w:rsid w:val="2EBC399B"/>
    <w:rsid w:val="2EC12425"/>
    <w:rsid w:val="2EC232C9"/>
    <w:rsid w:val="2EC365ED"/>
    <w:rsid w:val="2EC70166"/>
    <w:rsid w:val="2ECE4D95"/>
    <w:rsid w:val="2ECE6016"/>
    <w:rsid w:val="2ED03472"/>
    <w:rsid w:val="2ED22522"/>
    <w:rsid w:val="2ED36194"/>
    <w:rsid w:val="2ED45939"/>
    <w:rsid w:val="2ED51245"/>
    <w:rsid w:val="2ED5300A"/>
    <w:rsid w:val="2EDE6BC2"/>
    <w:rsid w:val="2EE41DAE"/>
    <w:rsid w:val="2EE54B41"/>
    <w:rsid w:val="2EF50724"/>
    <w:rsid w:val="2EF91630"/>
    <w:rsid w:val="2EF966A6"/>
    <w:rsid w:val="2EFB43A3"/>
    <w:rsid w:val="2EFF417F"/>
    <w:rsid w:val="2F0474BC"/>
    <w:rsid w:val="2F0B5250"/>
    <w:rsid w:val="2F0D74FF"/>
    <w:rsid w:val="2F1340CC"/>
    <w:rsid w:val="2F1C6441"/>
    <w:rsid w:val="2F1F49B3"/>
    <w:rsid w:val="2F1F6415"/>
    <w:rsid w:val="2F2825D4"/>
    <w:rsid w:val="2F2D3263"/>
    <w:rsid w:val="2F3D6776"/>
    <w:rsid w:val="2F415350"/>
    <w:rsid w:val="2F4200C9"/>
    <w:rsid w:val="2F432113"/>
    <w:rsid w:val="2F476103"/>
    <w:rsid w:val="2F503065"/>
    <w:rsid w:val="2F595531"/>
    <w:rsid w:val="2F5E29A9"/>
    <w:rsid w:val="2F5F527B"/>
    <w:rsid w:val="2F612937"/>
    <w:rsid w:val="2F6B16D1"/>
    <w:rsid w:val="2F714547"/>
    <w:rsid w:val="2F7301E9"/>
    <w:rsid w:val="2F796731"/>
    <w:rsid w:val="2F7E4C04"/>
    <w:rsid w:val="2F8335A1"/>
    <w:rsid w:val="2F850B4A"/>
    <w:rsid w:val="2F8D799B"/>
    <w:rsid w:val="2F996A97"/>
    <w:rsid w:val="2F9E61BF"/>
    <w:rsid w:val="2FA31589"/>
    <w:rsid w:val="2FB90446"/>
    <w:rsid w:val="2FBE1E49"/>
    <w:rsid w:val="2FC54AC0"/>
    <w:rsid w:val="2FC66192"/>
    <w:rsid w:val="2FD40B12"/>
    <w:rsid w:val="2FD620C0"/>
    <w:rsid w:val="2FD81158"/>
    <w:rsid w:val="2FDA2EAD"/>
    <w:rsid w:val="2FDF1635"/>
    <w:rsid w:val="2FEA7F5D"/>
    <w:rsid w:val="2FF45E1A"/>
    <w:rsid w:val="2FF7791F"/>
    <w:rsid w:val="300173B5"/>
    <w:rsid w:val="300C682D"/>
    <w:rsid w:val="300D6EEB"/>
    <w:rsid w:val="30190CEC"/>
    <w:rsid w:val="30231C0C"/>
    <w:rsid w:val="30333850"/>
    <w:rsid w:val="30344AAC"/>
    <w:rsid w:val="304104BE"/>
    <w:rsid w:val="3049778C"/>
    <w:rsid w:val="304B6C9F"/>
    <w:rsid w:val="304F4C11"/>
    <w:rsid w:val="30542A51"/>
    <w:rsid w:val="30600ABC"/>
    <w:rsid w:val="30631E12"/>
    <w:rsid w:val="30637DFA"/>
    <w:rsid w:val="306A4FCA"/>
    <w:rsid w:val="307E0BD9"/>
    <w:rsid w:val="30820BA2"/>
    <w:rsid w:val="308247F8"/>
    <w:rsid w:val="3084698D"/>
    <w:rsid w:val="30854FD1"/>
    <w:rsid w:val="308B5B7A"/>
    <w:rsid w:val="308C2465"/>
    <w:rsid w:val="308D0640"/>
    <w:rsid w:val="308D4F5F"/>
    <w:rsid w:val="308F13FF"/>
    <w:rsid w:val="30932B21"/>
    <w:rsid w:val="309516E0"/>
    <w:rsid w:val="3098430F"/>
    <w:rsid w:val="309A0A73"/>
    <w:rsid w:val="309D00E4"/>
    <w:rsid w:val="30A52ECE"/>
    <w:rsid w:val="30A7678E"/>
    <w:rsid w:val="30A81EC7"/>
    <w:rsid w:val="30B5499A"/>
    <w:rsid w:val="30BE3364"/>
    <w:rsid w:val="30C22406"/>
    <w:rsid w:val="30C63DD8"/>
    <w:rsid w:val="30C65D61"/>
    <w:rsid w:val="30D200DC"/>
    <w:rsid w:val="30D55B6D"/>
    <w:rsid w:val="30D7561E"/>
    <w:rsid w:val="30E96738"/>
    <w:rsid w:val="30EA076D"/>
    <w:rsid w:val="30F10325"/>
    <w:rsid w:val="30F736E3"/>
    <w:rsid w:val="30F814DF"/>
    <w:rsid w:val="30F839AA"/>
    <w:rsid w:val="30FE006A"/>
    <w:rsid w:val="31050E5E"/>
    <w:rsid w:val="310779DC"/>
    <w:rsid w:val="31096588"/>
    <w:rsid w:val="311468F5"/>
    <w:rsid w:val="31163695"/>
    <w:rsid w:val="31180485"/>
    <w:rsid w:val="311814DD"/>
    <w:rsid w:val="31183B05"/>
    <w:rsid w:val="311B2F72"/>
    <w:rsid w:val="312047CF"/>
    <w:rsid w:val="3122611A"/>
    <w:rsid w:val="31234BD1"/>
    <w:rsid w:val="312473F3"/>
    <w:rsid w:val="31250E6E"/>
    <w:rsid w:val="31264C1A"/>
    <w:rsid w:val="3132603D"/>
    <w:rsid w:val="3133148D"/>
    <w:rsid w:val="31355658"/>
    <w:rsid w:val="313F0F80"/>
    <w:rsid w:val="31452270"/>
    <w:rsid w:val="315477E9"/>
    <w:rsid w:val="31575D4E"/>
    <w:rsid w:val="315B471B"/>
    <w:rsid w:val="31623B44"/>
    <w:rsid w:val="3162469F"/>
    <w:rsid w:val="316A1ABE"/>
    <w:rsid w:val="316C2444"/>
    <w:rsid w:val="316F15F7"/>
    <w:rsid w:val="316F670B"/>
    <w:rsid w:val="31724AE7"/>
    <w:rsid w:val="31802330"/>
    <w:rsid w:val="3180330B"/>
    <w:rsid w:val="318A4942"/>
    <w:rsid w:val="318B6D27"/>
    <w:rsid w:val="319613D8"/>
    <w:rsid w:val="319723DB"/>
    <w:rsid w:val="319732A2"/>
    <w:rsid w:val="31975AE5"/>
    <w:rsid w:val="31982C46"/>
    <w:rsid w:val="319E42E7"/>
    <w:rsid w:val="31A128AF"/>
    <w:rsid w:val="31A27659"/>
    <w:rsid w:val="31A911FE"/>
    <w:rsid w:val="31AD50A5"/>
    <w:rsid w:val="31AF3476"/>
    <w:rsid w:val="31B05853"/>
    <w:rsid w:val="31B078DE"/>
    <w:rsid w:val="31BF47C5"/>
    <w:rsid w:val="31C2711A"/>
    <w:rsid w:val="31CA4935"/>
    <w:rsid w:val="31D27711"/>
    <w:rsid w:val="31D50198"/>
    <w:rsid w:val="31D51592"/>
    <w:rsid w:val="31D92C68"/>
    <w:rsid w:val="31D94156"/>
    <w:rsid w:val="31DE4239"/>
    <w:rsid w:val="31E309A7"/>
    <w:rsid w:val="31EA70EC"/>
    <w:rsid w:val="31EE38A8"/>
    <w:rsid w:val="31F7228A"/>
    <w:rsid w:val="31FB7E2E"/>
    <w:rsid w:val="31FD15C8"/>
    <w:rsid w:val="31FD53A4"/>
    <w:rsid w:val="3207621C"/>
    <w:rsid w:val="32081EE6"/>
    <w:rsid w:val="320B6ED7"/>
    <w:rsid w:val="320D3EF2"/>
    <w:rsid w:val="32137D22"/>
    <w:rsid w:val="321436E7"/>
    <w:rsid w:val="321B3424"/>
    <w:rsid w:val="3228476D"/>
    <w:rsid w:val="32363C92"/>
    <w:rsid w:val="324206BF"/>
    <w:rsid w:val="325536B7"/>
    <w:rsid w:val="32646E0A"/>
    <w:rsid w:val="32661730"/>
    <w:rsid w:val="326B76A7"/>
    <w:rsid w:val="32755144"/>
    <w:rsid w:val="32794998"/>
    <w:rsid w:val="32797C19"/>
    <w:rsid w:val="327B2078"/>
    <w:rsid w:val="32846F0F"/>
    <w:rsid w:val="328A541F"/>
    <w:rsid w:val="32915D33"/>
    <w:rsid w:val="32A21C26"/>
    <w:rsid w:val="32A45A87"/>
    <w:rsid w:val="32B421CE"/>
    <w:rsid w:val="32BB720A"/>
    <w:rsid w:val="32BC6C03"/>
    <w:rsid w:val="32C752D5"/>
    <w:rsid w:val="32C7669B"/>
    <w:rsid w:val="32C94D53"/>
    <w:rsid w:val="32D5541F"/>
    <w:rsid w:val="32D94CCF"/>
    <w:rsid w:val="32DE0CAE"/>
    <w:rsid w:val="32EA5F53"/>
    <w:rsid w:val="32EB5738"/>
    <w:rsid w:val="32ED4BC8"/>
    <w:rsid w:val="32F124AB"/>
    <w:rsid w:val="32F81A8F"/>
    <w:rsid w:val="32F9329B"/>
    <w:rsid w:val="32FC3577"/>
    <w:rsid w:val="33003496"/>
    <w:rsid w:val="33012C98"/>
    <w:rsid w:val="3302204C"/>
    <w:rsid w:val="33034D24"/>
    <w:rsid w:val="33057E13"/>
    <w:rsid w:val="33066B52"/>
    <w:rsid w:val="3307469C"/>
    <w:rsid w:val="33096C23"/>
    <w:rsid w:val="330B4F7A"/>
    <w:rsid w:val="330C1671"/>
    <w:rsid w:val="331152FA"/>
    <w:rsid w:val="331266FE"/>
    <w:rsid w:val="331C6E17"/>
    <w:rsid w:val="331D338D"/>
    <w:rsid w:val="331F1765"/>
    <w:rsid w:val="332417E5"/>
    <w:rsid w:val="3327522B"/>
    <w:rsid w:val="332E07FA"/>
    <w:rsid w:val="332E3101"/>
    <w:rsid w:val="33301010"/>
    <w:rsid w:val="33366618"/>
    <w:rsid w:val="333B58BF"/>
    <w:rsid w:val="333D0239"/>
    <w:rsid w:val="3342456E"/>
    <w:rsid w:val="33442293"/>
    <w:rsid w:val="334A5843"/>
    <w:rsid w:val="33526ABE"/>
    <w:rsid w:val="33547A10"/>
    <w:rsid w:val="335E57AA"/>
    <w:rsid w:val="335F5E75"/>
    <w:rsid w:val="3360528B"/>
    <w:rsid w:val="33643B65"/>
    <w:rsid w:val="33650CF7"/>
    <w:rsid w:val="33667CAB"/>
    <w:rsid w:val="336721B9"/>
    <w:rsid w:val="3368519D"/>
    <w:rsid w:val="3373336E"/>
    <w:rsid w:val="33746EDA"/>
    <w:rsid w:val="337E7B9B"/>
    <w:rsid w:val="33895F72"/>
    <w:rsid w:val="33987C67"/>
    <w:rsid w:val="33991A27"/>
    <w:rsid w:val="33A17E21"/>
    <w:rsid w:val="33A63F1C"/>
    <w:rsid w:val="33A7390D"/>
    <w:rsid w:val="33AB2115"/>
    <w:rsid w:val="33AB460F"/>
    <w:rsid w:val="33AD363E"/>
    <w:rsid w:val="33B153B3"/>
    <w:rsid w:val="33B36693"/>
    <w:rsid w:val="33B642B6"/>
    <w:rsid w:val="33B903C7"/>
    <w:rsid w:val="33BF2552"/>
    <w:rsid w:val="33C368CE"/>
    <w:rsid w:val="33C45B68"/>
    <w:rsid w:val="33C831AD"/>
    <w:rsid w:val="33CE7AD4"/>
    <w:rsid w:val="33D13DFC"/>
    <w:rsid w:val="33D179B8"/>
    <w:rsid w:val="33E141CE"/>
    <w:rsid w:val="33E34917"/>
    <w:rsid w:val="33E6315B"/>
    <w:rsid w:val="33E66834"/>
    <w:rsid w:val="33EC4C09"/>
    <w:rsid w:val="33F61656"/>
    <w:rsid w:val="33FA77C3"/>
    <w:rsid w:val="340679F9"/>
    <w:rsid w:val="34076621"/>
    <w:rsid w:val="340F037E"/>
    <w:rsid w:val="3411374F"/>
    <w:rsid w:val="3412397B"/>
    <w:rsid w:val="341254D6"/>
    <w:rsid w:val="34263AD4"/>
    <w:rsid w:val="342A0C17"/>
    <w:rsid w:val="342D047C"/>
    <w:rsid w:val="343309B9"/>
    <w:rsid w:val="34342E46"/>
    <w:rsid w:val="34357BFB"/>
    <w:rsid w:val="343F3460"/>
    <w:rsid w:val="34432D83"/>
    <w:rsid w:val="34512019"/>
    <w:rsid w:val="345F6BC3"/>
    <w:rsid w:val="34641C6A"/>
    <w:rsid w:val="347046CA"/>
    <w:rsid w:val="34736B76"/>
    <w:rsid w:val="34800E6C"/>
    <w:rsid w:val="34807F7E"/>
    <w:rsid w:val="34853EC7"/>
    <w:rsid w:val="348909BB"/>
    <w:rsid w:val="348B0C42"/>
    <w:rsid w:val="348E5D11"/>
    <w:rsid w:val="34951104"/>
    <w:rsid w:val="34965FA5"/>
    <w:rsid w:val="3499058B"/>
    <w:rsid w:val="34AC01E0"/>
    <w:rsid w:val="34B129A8"/>
    <w:rsid w:val="34BA589D"/>
    <w:rsid w:val="34CC4AF9"/>
    <w:rsid w:val="34D03627"/>
    <w:rsid w:val="34D42827"/>
    <w:rsid w:val="34DC0FFC"/>
    <w:rsid w:val="34DF55E7"/>
    <w:rsid w:val="34E13315"/>
    <w:rsid w:val="34EC1839"/>
    <w:rsid w:val="34ED6433"/>
    <w:rsid w:val="34F11864"/>
    <w:rsid w:val="34F325B3"/>
    <w:rsid w:val="34F6281B"/>
    <w:rsid w:val="34F7450E"/>
    <w:rsid w:val="34FB7530"/>
    <w:rsid w:val="34FC4D4E"/>
    <w:rsid w:val="34FC6C32"/>
    <w:rsid w:val="34FE6D00"/>
    <w:rsid w:val="34FF583D"/>
    <w:rsid w:val="35021D0B"/>
    <w:rsid w:val="35053506"/>
    <w:rsid w:val="350C3BA1"/>
    <w:rsid w:val="350D7526"/>
    <w:rsid w:val="35133CB6"/>
    <w:rsid w:val="35185DAF"/>
    <w:rsid w:val="351C4510"/>
    <w:rsid w:val="35236965"/>
    <w:rsid w:val="35245DE9"/>
    <w:rsid w:val="352540CF"/>
    <w:rsid w:val="352814E7"/>
    <w:rsid w:val="3529415E"/>
    <w:rsid w:val="35295C79"/>
    <w:rsid w:val="35311CA7"/>
    <w:rsid w:val="353C5EAA"/>
    <w:rsid w:val="35487136"/>
    <w:rsid w:val="35497397"/>
    <w:rsid w:val="354D30F1"/>
    <w:rsid w:val="35512CF8"/>
    <w:rsid w:val="355938E0"/>
    <w:rsid w:val="355B79E6"/>
    <w:rsid w:val="355C2285"/>
    <w:rsid w:val="355C75A1"/>
    <w:rsid w:val="35670510"/>
    <w:rsid w:val="35681CEA"/>
    <w:rsid w:val="35721703"/>
    <w:rsid w:val="357A1C13"/>
    <w:rsid w:val="357D27F1"/>
    <w:rsid w:val="357D67B9"/>
    <w:rsid w:val="358C247C"/>
    <w:rsid w:val="358D2367"/>
    <w:rsid w:val="35907072"/>
    <w:rsid w:val="35931ED8"/>
    <w:rsid w:val="35942706"/>
    <w:rsid w:val="35960C38"/>
    <w:rsid w:val="359B6037"/>
    <w:rsid w:val="35A00838"/>
    <w:rsid w:val="35A01C90"/>
    <w:rsid w:val="35A37CEB"/>
    <w:rsid w:val="35B06C3D"/>
    <w:rsid w:val="35B20F48"/>
    <w:rsid w:val="35B56F19"/>
    <w:rsid w:val="35B76CF3"/>
    <w:rsid w:val="35BB2A93"/>
    <w:rsid w:val="35BF2226"/>
    <w:rsid w:val="35BF798E"/>
    <w:rsid w:val="35C3375D"/>
    <w:rsid w:val="35C54067"/>
    <w:rsid w:val="35C83E25"/>
    <w:rsid w:val="35CD0FC5"/>
    <w:rsid w:val="35D50432"/>
    <w:rsid w:val="35D56122"/>
    <w:rsid w:val="35DA6796"/>
    <w:rsid w:val="35DE0EEA"/>
    <w:rsid w:val="35EC74AB"/>
    <w:rsid w:val="35F55EB0"/>
    <w:rsid w:val="35F56D2A"/>
    <w:rsid w:val="35FC11B3"/>
    <w:rsid w:val="36023999"/>
    <w:rsid w:val="36081F9A"/>
    <w:rsid w:val="360D1E5B"/>
    <w:rsid w:val="361D50DD"/>
    <w:rsid w:val="36222147"/>
    <w:rsid w:val="3626798A"/>
    <w:rsid w:val="36322136"/>
    <w:rsid w:val="363D5067"/>
    <w:rsid w:val="363F5265"/>
    <w:rsid w:val="36434FC5"/>
    <w:rsid w:val="36520350"/>
    <w:rsid w:val="36525B6D"/>
    <w:rsid w:val="365E5B0A"/>
    <w:rsid w:val="36635A9E"/>
    <w:rsid w:val="36703E42"/>
    <w:rsid w:val="367445FC"/>
    <w:rsid w:val="36825456"/>
    <w:rsid w:val="36855B58"/>
    <w:rsid w:val="368979BB"/>
    <w:rsid w:val="368C14C1"/>
    <w:rsid w:val="36925FA3"/>
    <w:rsid w:val="369464EE"/>
    <w:rsid w:val="369470C2"/>
    <w:rsid w:val="369B2D8B"/>
    <w:rsid w:val="36A709D6"/>
    <w:rsid w:val="36A94303"/>
    <w:rsid w:val="36B042EE"/>
    <w:rsid w:val="36B770F5"/>
    <w:rsid w:val="36B819AD"/>
    <w:rsid w:val="36B939AC"/>
    <w:rsid w:val="36BB4D3F"/>
    <w:rsid w:val="36BD16EF"/>
    <w:rsid w:val="36BE3C9A"/>
    <w:rsid w:val="36C26490"/>
    <w:rsid w:val="36CA6727"/>
    <w:rsid w:val="36D14BE7"/>
    <w:rsid w:val="36DA3A90"/>
    <w:rsid w:val="36DE7320"/>
    <w:rsid w:val="36DF484E"/>
    <w:rsid w:val="36E60C41"/>
    <w:rsid w:val="36F23B53"/>
    <w:rsid w:val="36F821C7"/>
    <w:rsid w:val="3705449E"/>
    <w:rsid w:val="37093780"/>
    <w:rsid w:val="37094B8B"/>
    <w:rsid w:val="370A0C67"/>
    <w:rsid w:val="37103FD6"/>
    <w:rsid w:val="37290EE4"/>
    <w:rsid w:val="372C3DFA"/>
    <w:rsid w:val="37315641"/>
    <w:rsid w:val="373759AF"/>
    <w:rsid w:val="373A03D1"/>
    <w:rsid w:val="373B3515"/>
    <w:rsid w:val="375238C5"/>
    <w:rsid w:val="3757188A"/>
    <w:rsid w:val="37574BA2"/>
    <w:rsid w:val="375A3E21"/>
    <w:rsid w:val="375B0594"/>
    <w:rsid w:val="37607F5F"/>
    <w:rsid w:val="37676130"/>
    <w:rsid w:val="37713E70"/>
    <w:rsid w:val="377235A3"/>
    <w:rsid w:val="378A5FE3"/>
    <w:rsid w:val="378F2A91"/>
    <w:rsid w:val="379B5F40"/>
    <w:rsid w:val="379C4D81"/>
    <w:rsid w:val="37A003F8"/>
    <w:rsid w:val="37A172CE"/>
    <w:rsid w:val="37A34F02"/>
    <w:rsid w:val="37A838CA"/>
    <w:rsid w:val="37AA5774"/>
    <w:rsid w:val="37BF15ED"/>
    <w:rsid w:val="37C000EC"/>
    <w:rsid w:val="37C13F4E"/>
    <w:rsid w:val="37C17BA5"/>
    <w:rsid w:val="37C41886"/>
    <w:rsid w:val="37C50051"/>
    <w:rsid w:val="37CB00A0"/>
    <w:rsid w:val="37DA03DA"/>
    <w:rsid w:val="37DD55C6"/>
    <w:rsid w:val="37FA5122"/>
    <w:rsid w:val="37FC4C4D"/>
    <w:rsid w:val="37FF1E89"/>
    <w:rsid w:val="380229FF"/>
    <w:rsid w:val="38082374"/>
    <w:rsid w:val="380C4048"/>
    <w:rsid w:val="380F3CEA"/>
    <w:rsid w:val="3810067F"/>
    <w:rsid w:val="381435BC"/>
    <w:rsid w:val="381B3968"/>
    <w:rsid w:val="381B5CAD"/>
    <w:rsid w:val="381C381B"/>
    <w:rsid w:val="381F66D0"/>
    <w:rsid w:val="38372F00"/>
    <w:rsid w:val="384D06FA"/>
    <w:rsid w:val="385F7CB3"/>
    <w:rsid w:val="386210E9"/>
    <w:rsid w:val="38651BE5"/>
    <w:rsid w:val="386648F7"/>
    <w:rsid w:val="38692A1B"/>
    <w:rsid w:val="3870025F"/>
    <w:rsid w:val="3871366A"/>
    <w:rsid w:val="38713E69"/>
    <w:rsid w:val="38741400"/>
    <w:rsid w:val="38780504"/>
    <w:rsid w:val="387D006A"/>
    <w:rsid w:val="38871933"/>
    <w:rsid w:val="388D326C"/>
    <w:rsid w:val="388D4885"/>
    <w:rsid w:val="389428C2"/>
    <w:rsid w:val="38946D28"/>
    <w:rsid w:val="3895233C"/>
    <w:rsid w:val="389D5CE1"/>
    <w:rsid w:val="38A33859"/>
    <w:rsid w:val="38A474AC"/>
    <w:rsid w:val="38AB3B5E"/>
    <w:rsid w:val="38AD16CE"/>
    <w:rsid w:val="38B03DAA"/>
    <w:rsid w:val="38B072DF"/>
    <w:rsid w:val="38BC58D8"/>
    <w:rsid w:val="38C205A0"/>
    <w:rsid w:val="38C23BA9"/>
    <w:rsid w:val="38C37825"/>
    <w:rsid w:val="38CD7756"/>
    <w:rsid w:val="38CE0D77"/>
    <w:rsid w:val="38D83786"/>
    <w:rsid w:val="38DE4516"/>
    <w:rsid w:val="38E54302"/>
    <w:rsid w:val="38E65FFA"/>
    <w:rsid w:val="38E81121"/>
    <w:rsid w:val="38ED633D"/>
    <w:rsid w:val="38F132DC"/>
    <w:rsid w:val="38FA4C03"/>
    <w:rsid w:val="38FD4C8E"/>
    <w:rsid w:val="38FF362F"/>
    <w:rsid w:val="38FF7DA0"/>
    <w:rsid w:val="39013C80"/>
    <w:rsid w:val="39072AD5"/>
    <w:rsid w:val="39080667"/>
    <w:rsid w:val="390D05D0"/>
    <w:rsid w:val="39110EF9"/>
    <w:rsid w:val="39196842"/>
    <w:rsid w:val="39206C4F"/>
    <w:rsid w:val="392353D6"/>
    <w:rsid w:val="3926668B"/>
    <w:rsid w:val="39294377"/>
    <w:rsid w:val="392A5C6A"/>
    <w:rsid w:val="39300A94"/>
    <w:rsid w:val="393452FB"/>
    <w:rsid w:val="3938563C"/>
    <w:rsid w:val="393E7D3D"/>
    <w:rsid w:val="393F11A7"/>
    <w:rsid w:val="39433D23"/>
    <w:rsid w:val="39451DC4"/>
    <w:rsid w:val="39477DA8"/>
    <w:rsid w:val="394D4996"/>
    <w:rsid w:val="394E6ACD"/>
    <w:rsid w:val="39564C3F"/>
    <w:rsid w:val="395A247A"/>
    <w:rsid w:val="395C5316"/>
    <w:rsid w:val="39660371"/>
    <w:rsid w:val="398A5D25"/>
    <w:rsid w:val="3992750C"/>
    <w:rsid w:val="399925AB"/>
    <w:rsid w:val="39A002E2"/>
    <w:rsid w:val="39A46A0C"/>
    <w:rsid w:val="39AA6AA0"/>
    <w:rsid w:val="39AA7448"/>
    <w:rsid w:val="39B76AAF"/>
    <w:rsid w:val="39BA1C9E"/>
    <w:rsid w:val="39BD152A"/>
    <w:rsid w:val="39BE05D1"/>
    <w:rsid w:val="39C25378"/>
    <w:rsid w:val="39D31C98"/>
    <w:rsid w:val="39D34089"/>
    <w:rsid w:val="39D41E2D"/>
    <w:rsid w:val="39D575A2"/>
    <w:rsid w:val="39D70337"/>
    <w:rsid w:val="39DA0644"/>
    <w:rsid w:val="39DB40BA"/>
    <w:rsid w:val="39E52E67"/>
    <w:rsid w:val="39E625F5"/>
    <w:rsid w:val="39EA42A2"/>
    <w:rsid w:val="39EA6242"/>
    <w:rsid w:val="39ED5718"/>
    <w:rsid w:val="39F2015A"/>
    <w:rsid w:val="39F60D21"/>
    <w:rsid w:val="39FB6CF0"/>
    <w:rsid w:val="39FC1601"/>
    <w:rsid w:val="3A0532C4"/>
    <w:rsid w:val="3A071140"/>
    <w:rsid w:val="3A097B11"/>
    <w:rsid w:val="3A0C1A7C"/>
    <w:rsid w:val="3A0D322C"/>
    <w:rsid w:val="3A101903"/>
    <w:rsid w:val="3A1824B8"/>
    <w:rsid w:val="3A1B3217"/>
    <w:rsid w:val="3A280226"/>
    <w:rsid w:val="3A292120"/>
    <w:rsid w:val="3A2C285B"/>
    <w:rsid w:val="3A2F5688"/>
    <w:rsid w:val="3A36509C"/>
    <w:rsid w:val="3A3A439E"/>
    <w:rsid w:val="3A3B25C8"/>
    <w:rsid w:val="3A416B16"/>
    <w:rsid w:val="3A467E5C"/>
    <w:rsid w:val="3A4B0B5B"/>
    <w:rsid w:val="3A4D3702"/>
    <w:rsid w:val="3A5C54D9"/>
    <w:rsid w:val="3A5C5F9E"/>
    <w:rsid w:val="3A651FAE"/>
    <w:rsid w:val="3A6678C8"/>
    <w:rsid w:val="3A6C15C4"/>
    <w:rsid w:val="3A6E178D"/>
    <w:rsid w:val="3A725BA8"/>
    <w:rsid w:val="3A755F40"/>
    <w:rsid w:val="3A786E06"/>
    <w:rsid w:val="3A7B083B"/>
    <w:rsid w:val="3A7B74D0"/>
    <w:rsid w:val="3A806496"/>
    <w:rsid w:val="3A834B10"/>
    <w:rsid w:val="3A8A7222"/>
    <w:rsid w:val="3A9478AE"/>
    <w:rsid w:val="3A954297"/>
    <w:rsid w:val="3A971DEB"/>
    <w:rsid w:val="3A9A2565"/>
    <w:rsid w:val="3A9C4A39"/>
    <w:rsid w:val="3AA17254"/>
    <w:rsid w:val="3AAA7333"/>
    <w:rsid w:val="3AAD595E"/>
    <w:rsid w:val="3AAE2071"/>
    <w:rsid w:val="3AB215CC"/>
    <w:rsid w:val="3ABD1D35"/>
    <w:rsid w:val="3ABE7CF5"/>
    <w:rsid w:val="3ACF7D18"/>
    <w:rsid w:val="3AD2518E"/>
    <w:rsid w:val="3AD67A5B"/>
    <w:rsid w:val="3ADE0B1F"/>
    <w:rsid w:val="3ADE4BA8"/>
    <w:rsid w:val="3AF11F8A"/>
    <w:rsid w:val="3AF21EDA"/>
    <w:rsid w:val="3B047D25"/>
    <w:rsid w:val="3B053CC9"/>
    <w:rsid w:val="3B1E54F1"/>
    <w:rsid w:val="3B270D45"/>
    <w:rsid w:val="3B2D1B13"/>
    <w:rsid w:val="3B2E7E49"/>
    <w:rsid w:val="3B2F737C"/>
    <w:rsid w:val="3B35662C"/>
    <w:rsid w:val="3B3707B0"/>
    <w:rsid w:val="3B3E1D0D"/>
    <w:rsid w:val="3B414EEA"/>
    <w:rsid w:val="3B4177AD"/>
    <w:rsid w:val="3B4952C8"/>
    <w:rsid w:val="3B4B088F"/>
    <w:rsid w:val="3B4B24C3"/>
    <w:rsid w:val="3B4D0128"/>
    <w:rsid w:val="3B4F2D9D"/>
    <w:rsid w:val="3B5315BB"/>
    <w:rsid w:val="3B565700"/>
    <w:rsid w:val="3B6200DC"/>
    <w:rsid w:val="3B6A1DD5"/>
    <w:rsid w:val="3B6B59B0"/>
    <w:rsid w:val="3B720DB1"/>
    <w:rsid w:val="3B770F4C"/>
    <w:rsid w:val="3B7F1D5C"/>
    <w:rsid w:val="3B820FD8"/>
    <w:rsid w:val="3B8439FA"/>
    <w:rsid w:val="3B8C60DA"/>
    <w:rsid w:val="3B914DB3"/>
    <w:rsid w:val="3B93247C"/>
    <w:rsid w:val="3B936E25"/>
    <w:rsid w:val="3B99285A"/>
    <w:rsid w:val="3BA623ED"/>
    <w:rsid w:val="3BA84903"/>
    <w:rsid w:val="3BAC3348"/>
    <w:rsid w:val="3BB215DF"/>
    <w:rsid w:val="3BB550EC"/>
    <w:rsid w:val="3BB801D7"/>
    <w:rsid w:val="3BB949B5"/>
    <w:rsid w:val="3BBA5229"/>
    <w:rsid w:val="3BBE2966"/>
    <w:rsid w:val="3BC0119C"/>
    <w:rsid w:val="3BC139B7"/>
    <w:rsid w:val="3BD6064F"/>
    <w:rsid w:val="3BDA6F38"/>
    <w:rsid w:val="3BE66B02"/>
    <w:rsid w:val="3BEA2298"/>
    <w:rsid w:val="3BEC54E7"/>
    <w:rsid w:val="3BF44F2B"/>
    <w:rsid w:val="3BF7633F"/>
    <w:rsid w:val="3BF96E47"/>
    <w:rsid w:val="3BFB1EAB"/>
    <w:rsid w:val="3C016375"/>
    <w:rsid w:val="3C0814DD"/>
    <w:rsid w:val="3C0F615A"/>
    <w:rsid w:val="3C111C80"/>
    <w:rsid w:val="3C166D20"/>
    <w:rsid w:val="3C182B7D"/>
    <w:rsid w:val="3C19115A"/>
    <w:rsid w:val="3C1F40FB"/>
    <w:rsid w:val="3C2D6AD6"/>
    <w:rsid w:val="3C3910B1"/>
    <w:rsid w:val="3C3F3A56"/>
    <w:rsid w:val="3C420F3B"/>
    <w:rsid w:val="3C477B17"/>
    <w:rsid w:val="3C4E756E"/>
    <w:rsid w:val="3C50755F"/>
    <w:rsid w:val="3C510E52"/>
    <w:rsid w:val="3C520270"/>
    <w:rsid w:val="3C5953C2"/>
    <w:rsid w:val="3C5A2B1E"/>
    <w:rsid w:val="3C5C7F24"/>
    <w:rsid w:val="3C5F613B"/>
    <w:rsid w:val="3C63765B"/>
    <w:rsid w:val="3C77255D"/>
    <w:rsid w:val="3C7B5922"/>
    <w:rsid w:val="3C8117CD"/>
    <w:rsid w:val="3C823E58"/>
    <w:rsid w:val="3C8B438B"/>
    <w:rsid w:val="3CA109A9"/>
    <w:rsid w:val="3CA16A74"/>
    <w:rsid w:val="3CA3377D"/>
    <w:rsid w:val="3CA418FC"/>
    <w:rsid w:val="3CAE30D2"/>
    <w:rsid w:val="3CB2131A"/>
    <w:rsid w:val="3CCB3096"/>
    <w:rsid w:val="3CCB55B3"/>
    <w:rsid w:val="3CD0041D"/>
    <w:rsid w:val="3CD179BF"/>
    <w:rsid w:val="3CD315DF"/>
    <w:rsid w:val="3CD62C05"/>
    <w:rsid w:val="3CD67924"/>
    <w:rsid w:val="3CD80D65"/>
    <w:rsid w:val="3CDF01F7"/>
    <w:rsid w:val="3CE13542"/>
    <w:rsid w:val="3CE76D78"/>
    <w:rsid w:val="3CEA1112"/>
    <w:rsid w:val="3CFD3252"/>
    <w:rsid w:val="3CFF5802"/>
    <w:rsid w:val="3D006B62"/>
    <w:rsid w:val="3D010897"/>
    <w:rsid w:val="3D045BB3"/>
    <w:rsid w:val="3D045FA3"/>
    <w:rsid w:val="3D05626D"/>
    <w:rsid w:val="3D074217"/>
    <w:rsid w:val="3D075358"/>
    <w:rsid w:val="3D0E26C3"/>
    <w:rsid w:val="3D1B2BE9"/>
    <w:rsid w:val="3D1C3834"/>
    <w:rsid w:val="3D1C4DD6"/>
    <w:rsid w:val="3D2862A4"/>
    <w:rsid w:val="3D2871C0"/>
    <w:rsid w:val="3D2C0B97"/>
    <w:rsid w:val="3D391372"/>
    <w:rsid w:val="3D3B21C0"/>
    <w:rsid w:val="3D3F0837"/>
    <w:rsid w:val="3D404C8A"/>
    <w:rsid w:val="3D4C2565"/>
    <w:rsid w:val="3D4C4284"/>
    <w:rsid w:val="3D5C1840"/>
    <w:rsid w:val="3D5E6942"/>
    <w:rsid w:val="3D5F6602"/>
    <w:rsid w:val="3D617C2D"/>
    <w:rsid w:val="3D6759A8"/>
    <w:rsid w:val="3D691CDA"/>
    <w:rsid w:val="3D6C0D5B"/>
    <w:rsid w:val="3D7913BF"/>
    <w:rsid w:val="3D7A3929"/>
    <w:rsid w:val="3D7F6184"/>
    <w:rsid w:val="3D837497"/>
    <w:rsid w:val="3D85156F"/>
    <w:rsid w:val="3D87117F"/>
    <w:rsid w:val="3D9A49E3"/>
    <w:rsid w:val="3DA07661"/>
    <w:rsid w:val="3DA54DBE"/>
    <w:rsid w:val="3DA904E5"/>
    <w:rsid w:val="3DAE0C3A"/>
    <w:rsid w:val="3DC4651D"/>
    <w:rsid w:val="3DC56D07"/>
    <w:rsid w:val="3DCE49A6"/>
    <w:rsid w:val="3DD35448"/>
    <w:rsid w:val="3DDD514B"/>
    <w:rsid w:val="3DDF0EA0"/>
    <w:rsid w:val="3DE40669"/>
    <w:rsid w:val="3DE95048"/>
    <w:rsid w:val="3DEF4BD5"/>
    <w:rsid w:val="3DF13A45"/>
    <w:rsid w:val="3DF274F9"/>
    <w:rsid w:val="3DF4055A"/>
    <w:rsid w:val="3DFE26F3"/>
    <w:rsid w:val="3E0138B5"/>
    <w:rsid w:val="3E037B9B"/>
    <w:rsid w:val="3E051670"/>
    <w:rsid w:val="3E1230C3"/>
    <w:rsid w:val="3E131302"/>
    <w:rsid w:val="3E1861F8"/>
    <w:rsid w:val="3E1A3983"/>
    <w:rsid w:val="3E1A4F57"/>
    <w:rsid w:val="3E1C2C66"/>
    <w:rsid w:val="3E20631E"/>
    <w:rsid w:val="3E221180"/>
    <w:rsid w:val="3E2607E1"/>
    <w:rsid w:val="3E344887"/>
    <w:rsid w:val="3E3F0D1E"/>
    <w:rsid w:val="3E425170"/>
    <w:rsid w:val="3E4B5BF2"/>
    <w:rsid w:val="3E5B70F1"/>
    <w:rsid w:val="3E5F4403"/>
    <w:rsid w:val="3E6B0A84"/>
    <w:rsid w:val="3E6E7611"/>
    <w:rsid w:val="3E6F1B5C"/>
    <w:rsid w:val="3E72151B"/>
    <w:rsid w:val="3E775EE7"/>
    <w:rsid w:val="3E8065FB"/>
    <w:rsid w:val="3E874397"/>
    <w:rsid w:val="3E8A19BC"/>
    <w:rsid w:val="3E8E4E22"/>
    <w:rsid w:val="3E90104D"/>
    <w:rsid w:val="3E9133C6"/>
    <w:rsid w:val="3EA01512"/>
    <w:rsid w:val="3EA07BDC"/>
    <w:rsid w:val="3EA379C1"/>
    <w:rsid w:val="3EA52B53"/>
    <w:rsid w:val="3EA7671A"/>
    <w:rsid w:val="3EAA2239"/>
    <w:rsid w:val="3EAC4906"/>
    <w:rsid w:val="3EAF71F0"/>
    <w:rsid w:val="3EB060A1"/>
    <w:rsid w:val="3EB23B50"/>
    <w:rsid w:val="3EB31D60"/>
    <w:rsid w:val="3EB87085"/>
    <w:rsid w:val="3EC31941"/>
    <w:rsid w:val="3EC53037"/>
    <w:rsid w:val="3ECF03F0"/>
    <w:rsid w:val="3ED2577F"/>
    <w:rsid w:val="3EDB2AFB"/>
    <w:rsid w:val="3EDD7560"/>
    <w:rsid w:val="3EFA44E1"/>
    <w:rsid w:val="3EFB4AAD"/>
    <w:rsid w:val="3EFC15F2"/>
    <w:rsid w:val="3EFE27E0"/>
    <w:rsid w:val="3EFF3072"/>
    <w:rsid w:val="3F0334D6"/>
    <w:rsid w:val="3F0D5D13"/>
    <w:rsid w:val="3F0F1512"/>
    <w:rsid w:val="3F1A3AE7"/>
    <w:rsid w:val="3F1A4D44"/>
    <w:rsid w:val="3F1E0C17"/>
    <w:rsid w:val="3F20237F"/>
    <w:rsid w:val="3F2037CE"/>
    <w:rsid w:val="3F251554"/>
    <w:rsid w:val="3F2530F5"/>
    <w:rsid w:val="3F2821A0"/>
    <w:rsid w:val="3F2D569E"/>
    <w:rsid w:val="3F3061C1"/>
    <w:rsid w:val="3F366502"/>
    <w:rsid w:val="3F3C771E"/>
    <w:rsid w:val="3F420C7D"/>
    <w:rsid w:val="3F427A78"/>
    <w:rsid w:val="3F45633A"/>
    <w:rsid w:val="3F463130"/>
    <w:rsid w:val="3F465622"/>
    <w:rsid w:val="3F4B1D65"/>
    <w:rsid w:val="3F50787E"/>
    <w:rsid w:val="3F54387D"/>
    <w:rsid w:val="3F5E367D"/>
    <w:rsid w:val="3F634748"/>
    <w:rsid w:val="3F6B4BD1"/>
    <w:rsid w:val="3F6E6EF4"/>
    <w:rsid w:val="3F7131EA"/>
    <w:rsid w:val="3F83507D"/>
    <w:rsid w:val="3F8D6AF2"/>
    <w:rsid w:val="3F8E5D11"/>
    <w:rsid w:val="3F9A47A2"/>
    <w:rsid w:val="3FA27B24"/>
    <w:rsid w:val="3FA76C06"/>
    <w:rsid w:val="3FAA53A0"/>
    <w:rsid w:val="3FAC4997"/>
    <w:rsid w:val="3FAD66FC"/>
    <w:rsid w:val="3FAD6CDD"/>
    <w:rsid w:val="3FB51512"/>
    <w:rsid w:val="3FB664CC"/>
    <w:rsid w:val="3FBF11EE"/>
    <w:rsid w:val="3FC8631E"/>
    <w:rsid w:val="3FD27C38"/>
    <w:rsid w:val="3FD3682D"/>
    <w:rsid w:val="3FD406B7"/>
    <w:rsid w:val="3FD42520"/>
    <w:rsid w:val="3FDB41D4"/>
    <w:rsid w:val="3FDC061E"/>
    <w:rsid w:val="3FDC7308"/>
    <w:rsid w:val="3FFF4D89"/>
    <w:rsid w:val="40055784"/>
    <w:rsid w:val="40061865"/>
    <w:rsid w:val="40136841"/>
    <w:rsid w:val="401B1986"/>
    <w:rsid w:val="401C64C8"/>
    <w:rsid w:val="40233285"/>
    <w:rsid w:val="40261BB5"/>
    <w:rsid w:val="402C66CE"/>
    <w:rsid w:val="402D6A99"/>
    <w:rsid w:val="4034547C"/>
    <w:rsid w:val="403A1569"/>
    <w:rsid w:val="40451039"/>
    <w:rsid w:val="404A5608"/>
    <w:rsid w:val="404E7E62"/>
    <w:rsid w:val="40505E14"/>
    <w:rsid w:val="405213A9"/>
    <w:rsid w:val="405231F4"/>
    <w:rsid w:val="405B26DB"/>
    <w:rsid w:val="405B7593"/>
    <w:rsid w:val="40663F3A"/>
    <w:rsid w:val="406970A0"/>
    <w:rsid w:val="407077B0"/>
    <w:rsid w:val="407667B7"/>
    <w:rsid w:val="407D0CC2"/>
    <w:rsid w:val="407D649D"/>
    <w:rsid w:val="4082256C"/>
    <w:rsid w:val="40853B40"/>
    <w:rsid w:val="408A38FB"/>
    <w:rsid w:val="409164EC"/>
    <w:rsid w:val="40920AB5"/>
    <w:rsid w:val="409612E5"/>
    <w:rsid w:val="40980F58"/>
    <w:rsid w:val="40991146"/>
    <w:rsid w:val="409B5EA3"/>
    <w:rsid w:val="40A53E40"/>
    <w:rsid w:val="40A96897"/>
    <w:rsid w:val="40AB4FBF"/>
    <w:rsid w:val="40B26BF4"/>
    <w:rsid w:val="40B46AB5"/>
    <w:rsid w:val="40C00CFA"/>
    <w:rsid w:val="40C04CC4"/>
    <w:rsid w:val="40C0772B"/>
    <w:rsid w:val="40C44C2B"/>
    <w:rsid w:val="40CB4DAC"/>
    <w:rsid w:val="40CE79FC"/>
    <w:rsid w:val="40D3349A"/>
    <w:rsid w:val="40D41584"/>
    <w:rsid w:val="40DD7FC1"/>
    <w:rsid w:val="40DF4D4D"/>
    <w:rsid w:val="40DF7CEF"/>
    <w:rsid w:val="40E51925"/>
    <w:rsid w:val="40E657FD"/>
    <w:rsid w:val="40EC3E24"/>
    <w:rsid w:val="40EC611D"/>
    <w:rsid w:val="40F528A6"/>
    <w:rsid w:val="40F5665C"/>
    <w:rsid w:val="40FD5FBE"/>
    <w:rsid w:val="41092B13"/>
    <w:rsid w:val="41097A99"/>
    <w:rsid w:val="410B74C0"/>
    <w:rsid w:val="410C3C90"/>
    <w:rsid w:val="411224D9"/>
    <w:rsid w:val="41123E80"/>
    <w:rsid w:val="411361BC"/>
    <w:rsid w:val="41152DD0"/>
    <w:rsid w:val="41160EEE"/>
    <w:rsid w:val="411C69CB"/>
    <w:rsid w:val="412278B3"/>
    <w:rsid w:val="412306B6"/>
    <w:rsid w:val="412356CE"/>
    <w:rsid w:val="41290C20"/>
    <w:rsid w:val="412D0C1B"/>
    <w:rsid w:val="41317385"/>
    <w:rsid w:val="4135711D"/>
    <w:rsid w:val="4139556F"/>
    <w:rsid w:val="41395D37"/>
    <w:rsid w:val="413D4B2F"/>
    <w:rsid w:val="41421ABD"/>
    <w:rsid w:val="4144231D"/>
    <w:rsid w:val="41484624"/>
    <w:rsid w:val="414974C7"/>
    <w:rsid w:val="414B05D4"/>
    <w:rsid w:val="414D0B1A"/>
    <w:rsid w:val="414D64EC"/>
    <w:rsid w:val="414F7A8E"/>
    <w:rsid w:val="41525B70"/>
    <w:rsid w:val="41592769"/>
    <w:rsid w:val="415B23FE"/>
    <w:rsid w:val="416075B7"/>
    <w:rsid w:val="416155EF"/>
    <w:rsid w:val="41672D79"/>
    <w:rsid w:val="416A0825"/>
    <w:rsid w:val="41816ACB"/>
    <w:rsid w:val="41862A6A"/>
    <w:rsid w:val="41932BD0"/>
    <w:rsid w:val="419A1847"/>
    <w:rsid w:val="419B5E2C"/>
    <w:rsid w:val="41A1768E"/>
    <w:rsid w:val="41A77FDE"/>
    <w:rsid w:val="41A9434A"/>
    <w:rsid w:val="41AE0133"/>
    <w:rsid w:val="41B1605A"/>
    <w:rsid w:val="41B55BFE"/>
    <w:rsid w:val="41BB58F7"/>
    <w:rsid w:val="41BD2B41"/>
    <w:rsid w:val="41BD46FD"/>
    <w:rsid w:val="41C04DC4"/>
    <w:rsid w:val="41C2219C"/>
    <w:rsid w:val="41C80675"/>
    <w:rsid w:val="41CA2F94"/>
    <w:rsid w:val="41CF5923"/>
    <w:rsid w:val="41E54030"/>
    <w:rsid w:val="41ED11F6"/>
    <w:rsid w:val="41F42F97"/>
    <w:rsid w:val="41FD318F"/>
    <w:rsid w:val="4206093D"/>
    <w:rsid w:val="420C36D6"/>
    <w:rsid w:val="420F2CD4"/>
    <w:rsid w:val="421243BC"/>
    <w:rsid w:val="42171B79"/>
    <w:rsid w:val="421B1AA1"/>
    <w:rsid w:val="421C7E48"/>
    <w:rsid w:val="42251D40"/>
    <w:rsid w:val="42254872"/>
    <w:rsid w:val="422944E7"/>
    <w:rsid w:val="42335008"/>
    <w:rsid w:val="42351891"/>
    <w:rsid w:val="42356C5B"/>
    <w:rsid w:val="424129CC"/>
    <w:rsid w:val="42451ADE"/>
    <w:rsid w:val="4246391D"/>
    <w:rsid w:val="424D57BB"/>
    <w:rsid w:val="42513052"/>
    <w:rsid w:val="4259024B"/>
    <w:rsid w:val="42594070"/>
    <w:rsid w:val="425E247E"/>
    <w:rsid w:val="42656CC2"/>
    <w:rsid w:val="426660AE"/>
    <w:rsid w:val="426C3DF2"/>
    <w:rsid w:val="426E580E"/>
    <w:rsid w:val="426F4428"/>
    <w:rsid w:val="42715704"/>
    <w:rsid w:val="42717281"/>
    <w:rsid w:val="427770CD"/>
    <w:rsid w:val="427934F7"/>
    <w:rsid w:val="427B5B72"/>
    <w:rsid w:val="427C0F78"/>
    <w:rsid w:val="427E501B"/>
    <w:rsid w:val="427F2179"/>
    <w:rsid w:val="42861319"/>
    <w:rsid w:val="428C3E02"/>
    <w:rsid w:val="428C512E"/>
    <w:rsid w:val="428E3A14"/>
    <w:rsid w:val="429D2F56"/>
    <w:rsid w:val="42AA03FE"/>
    <w:rsid w:val="42AB6CB0"/>
    <w:rsid w:val="42BC1463"/>
    <w:rsid w:val="42BD2E08"/>
    <w:rsid w:val="42BD7632"/>
    <w:rsid w:val="42BE6456"/>
    <w:rsid w:val="42BF550D"/>
    <w:rsid w:val="42C02D57"/>
    <w:rsid w:val="42CA3481"/>
    <w:rsid w:val="42CC4BB1"/>
    <w:rsid w:val="42CD1BEC"/>
    <w:rsid w:val="42CD3F1B"/>
    <w:rsid w:val="42CD5D94"/>
    <w:rsid w:val="42D121B5"/>
    <w:rsid w:val="42D563EF"/>
    <w:rsid w:val="42D564DC"/>
    <w:rsid w:val="42D569BD"/>
    <w:rsid w:val="42D62CE8"/>
    <w:rsid w:val="42DD2FC4"/>
    <w:rsid w:val="42DE2502"/>
    <w:rsid w:val="42E037B2"/>
    <w:rsid w:val="42E6617F"/>
    <w:rsid w:val="42E8003F"/>
    <w:rsid w:val="42E810D0"/>
    <w:rsid w:val="42EC4D54"/>
    <w:rsid w:val="42ED4E7C"/>
    <w:rsid w:val="42F16AFF"/>
    <w:rsid w:val="42F243EC"/>
    <w:rsid w:val="42FD4C05"/>
    <w:rsid w:val="42FE385D"/>
    <w:rsid w:val="42FF27F9"/>
    <w:rsid w:val="43023302"/>
    <w:rsid w:val="43146EF7"/>
    <w:rsid w:val="43153791"/>
    <w:rsid w:val="43185893"/>
    <w:rsid w:val="43214B70"/>
    <w:rsid w:val="4328585E"/>
    <w:rsid w:val="432934E9"/>
    <w:rsid w:val="432D258F"/>
    <w:rsid w:val="433106EC"/>
    <w:rsid w:val="4332062F"/>
    <w:rsid w:val="433218EE"/>
    <w:rsid w:val="433312ED"/>
    <w:rsid w:val="43337B17"/>
    <w:rsid w:val="43391092"/>
    <w:rsid w:val="433B7922"/>
    <w:rsid w:val="433D1A4F"/>
    <w:rsid w:val="433F0601"/>
    <w:rsid w:val="43420B79"/>
    <w:rsid w:val="43430187"/>
    <w:rsid w:val="434461DC"/>
    <w:rsid w:val="434870BB"/>
    <w:rsid w:val="43491B28"/>
    <w:rsid w:val="434D495D"/>
    <w:rsid w:val="434D7F3B"/>
    <w:rsid w:val="434F7972"/>
    <w:rsid w:val="4350042C"/>
    <w:rsid w:val="435167A6"/>
    <w:rsid w:val="435634A6"/>
    <w:rsid w:val="43584F06"/>
    <w:rsid w:val="435F06CA"/>
    <w:rsid w:val="43640079"/>
    <w:rsid w:val="43682FDE"/>
    <w:rsid w:val="436A638F"/>
    <w:rsid w:val="436C25EB"/>
    <w:rsid w:val="4373407C"/>
    <w:rsid w:val="43781723"/>
    <w:rsid w:val="43795DF5"/>
    <w:rsid w:val="437F5DA4"/>
    <w:rsid w:val="43853B6F"/>
    <w:rsid w:val="43867F9D"/>
    <w:rsid w:val="43912F77"/>
    <w:rsid w:val="4393288A"/>
    <w:rsid w:val="43945E77"/>
    <w:rsid w:val="43963D49"/>
    <w:rsid w:val="43AA4FE7"/>
    <w:rsid w:val="43AE6274"/>
    <w:rsid w:val="43B70385"/>
    <w:rsid w:val="43BB0EB2"/>
    <w:rsid w:val="43BB3F3F"/>
    <w:rsid w:val="43BE2DCC"/>
    <w:rsid w:val="43CE3EDA"/>
    <w:rsid w:val="43D536EC"/>
    <w:rsid w:val="43E71571"/>
    <w:rsid w:val="43ED06B2"/>
    <w:rsid w:val="43ED127F"/>
    <w:rsid w:val="43F830FC"/>
    <w:rsid w:val="43FE5E62"/>
    <w:rsid w:val="440103D3"/>
    <w:rsid w:val="4401732D"/>
    <w:rsid w:val="44042E17"/>
    <w:rsid w:val="440948FF"/>
    <w:rsid w:val="440D75D9"/>
    <w:rsid w:val="44150F72"/>
    <w:rsid w:val="441536E4"/>
    <w:rsid w:val="44192CA2"/>
    <w:rsid w:val="44240C7A"/>
    <w:rsid w:val="44240DC2"/>
    <w:rsid w:val="44297426"/>
    <w:rsid w:val="442B2420"/>
    <w:rsid w:val="44327873"/>
    <w:rsid w:val="443A593B"/>
    <w:rsid w:val="443B3040"/>
    <w:rsid w:val="443C375D"/>
    <w:rsid w:val="443E5648"/>
    <w:rsid w:val="44495279"/>
    <w:rsid w:val="444A39EF"/>
    <w:rsid w:val="444C1ACD"/>
    <w:rsid w:val="44676150"/>
    <w:rsid w:val="44686A0E"/>
    <w:rsid w:val="446A35A7"/>
    <w:rsid w:val="446A51EA"/>
    <w:rsid w:val="446B5D3C"/>
    <w:rsid w:val="447072D3"/>
    <w:rsid w:val="44721F6D"/>
    <w:rsid w:val="44757C27"/>
    <w:rsid w:val="447B01AC"/>
    <w:rsid w:val="44842F3D"/>
    <w:rsid w:val="4485794A"/>
    <w:rsid w:val="448C10CB"/>
    <w:rsid w:val="44905300"/>
    <w:rsid w:val="44912557"/>
    <w:rsid w:val="44914A54"/>
    <w:rsid w:val="44940530"/>
    <w:rsid w:val="449736BF"/>
    <w:rsid w:val="44A86B0A"/>
    <w:rsid w:val="44AA37A9"/>
    <w:rsid w:val="44AA6E27"/>
    <w:rsid w:val="44AC7A59"/>
    <w:rsid w:val="44B15534"/>
    <w:rsid w:val="44C150B3"/>
    <w:rsid w:val="44C85456"/>
    <w:rsid w:val="44CA0AEF"/>
    <w:rsid w:val="44CB28D4"/>
    <w:rsid w:val="44CD1BF8"/>
    <w:rsid w:val="44D01E1C"/>
    <w:rsid w:val="44D52AA9"/>
    <w:rsid w:val="44D54BAA"/>
    <w:rsid w:val="44D725E8"/>
    <w:rsid w:val="44DD05AD"/>
    <w:rsid w:val="44EA2668"/>
    <w:rsid w:val="44EA5EC5"/>
    <w:rsid w:val="44EC2226"/>
    <w:rsid w:val="44F04ABE"/>
    <w:rsid w:val="44F34151"/>
    <w:rsid w:val="44F37E50"/>
    <w:rsid w:val="44F9692F"/>
    <w:rsid w:val="44FD22B8"/>
    <w:rsid w:val="44FD4BC7"/>
    <w:rsid w:val="45001B15"/>
    <w:rsid w:val="45002996"/>
    <w:rsid w:val="450634C6"/>
    <w:rsid w:val="45165308"/>
    <w:rsid w:val="4519687E"/>
    <w:rsid w:val="45217AA6"/>
    <w:rsid w:val="452F5422"/>
    <w:rsid w:val="453440A6"/>
    <w:rsid w:val="453620AF"/>
    <w:rsid w:val="453A7A0C"/>
    <w:rsid w:val="453B6BF4"/>
    <w:rsid w:val="453B7BD6"/>
    <w:rsid w:val="453D3896"/>
    <w:rsid w:val="4540483F"/>
    <w:rsid w:val="4543017F"/>
    <w:rsid w:val="454B7E17"/>
    <w:rsid w:val="45532811"/>
    <w:rsid w:val="455339DB"/>
    <w:rsid w:val="4554655B"/>
    <w:rsid w:val="455520B0"/>
    <w:rsid w:val="455E0FB4"/>
    <w:rsid w:val="456118FE"/>
    <w:rsid w:val="456807AF"/>
    <w:rsid w:val="4575418A"/>
    <w:rsid w:val="4576541D"/>
    <w:rsid w:val="457720CD"/>
    <w:rsid w:val="458071D2"/>
    <w:rsid w:val="45842052"/>
    <w:rsid w:val="45854CB6"/>
    <w:rsid w:val="45874651"/>
    <w:rsid w:val="458F3C6B"/>
    <w:rsid w:val="45942123"/>
    <w:rsid w:val="459530A4"/>
    <w:rsid w:val="459D3E10"/>
    <w:rsid w:val="459E37C1"/>
    <w:rsid w:val="45A57BAA"/>
    <w:rsid w:val="45A6756F"/>
    <w:rsid w:val="45A75795"/>
    <w:rsid w:val="45AC6618"/>
    <w:rsid w:val="45B163AB"/>
    <w:rsid w:val="45B16F51"/>
    <w:rsid w:val="45B439BB"/>
    <w:rsid w:val="45B92B7D"/>
    <w:rsid w:val="45C261A0"/>
    <w:rsid w:val="45C3692D"/>
    <w:rsid w:val="45C60826"/>
    <w:rsid w:val="45C6403E"/>
    <w:rsid w:val="45C65E50"/>
    <w:rsid w:val="45C77748"/>
    <w:rsid w:val="45C958F4"/>
    <w:rsid w:val="45CA0A8C"/>
    <w:rsid w:val="45CA20F2"/>
    <w:rsid w:val="45CF10C4"/>
    <w:rsid w:val="45D625CE"/>
    <w:rsid w:val="45DC4322"/>
    <w:rsid w:val="45DE1809"/>
    <w:rsid w:val="45E0107D"/>
    <w:rsid w:val="45E0259D"/>
    <w:rsid w:val="45E0724F"/>
    <w:rsid w:val="45E53D94"/>
    <w:rsid w:val="45EE0688"/>
    <w:rsid w:val="45F20843"/>
    <w:rsid w:val="45F37B8E"/>
    <w:rsid w:val="45F560C6"/>
    <w:rsid w:val="46035F26"/>
    <w:rsid w:val="460A3E5C"/>
    <w:rsid w:val="460D0CED"/>
    <w:rsid w:val="4610783D"/>
    <w:rsid w:val="4612734F"/>
    <w:rsid w:val="46184670"/>
    <w:rsid w:val="46223618"/>
    <w:rsid w:val="462725AA"/>
    <w:rsid w:val="462D01C9"/>
    <w:rsid w:val="462E1AA5"/>
    <w:rsid w:val="4632217E"/>
    <w:rsid w:val="463B478D"/>
    <w:rsid w:val="464208E8"/>
    <w:rsid w:val="464269B6"/>
    <w:rsid w:val="464D02F7"/>
    <w:rsid w:val="465B5A74"/>
    <w:rsid w:val="466454FA"/>
    <w:rsid w:val="466509A2"/>
    <w:rsid w:val="46662520"/>
    <w:rsid w:val="46691D25"/>
    <w:rsid w:val="46693A5A"/>
    <w:rsid w:val="46781CE4"/>
    <w:rsid w:val="467A7253"/>
    <w:rsid w:val="46813DE5"/>
    <w:rsid w:val="46880353"/>
    <w:rsid w:val="46887806"/>
    <w:rsid w:val="468D5AFE"/>
    <w:rsid w:val="4697169B"/>
    <w:rsid w:val="46977FEC"/>
    <w:rsid w:val="46984D25"/>
    <w:rsid w:val="46A10A28"/>
    <w:rsid w:val="46A8471E"/>
    <w:rsid w:val="46AA2374"/>
    <w:rsid w:val="46AC43AD"/>
    <w:rsid w:val="46AD0764"/>
    <w:rsid w:val="46B244FA"/>
    <w:rsid w:val="46B33A56"/>
    <w:rsid w:val="46B600B8"/>
    <w:rsid w:val="46BC25FA"/>
    <w:rsid w:val="46BD23B1"/>
    <w:rsid w:val="46C22826"/>
    <w:rsid w:val="46C71D24"/>
    <w:rsid w:val="46C816FF"/>
    <w:rsid w:val="46CE334D"/>
    <w:rsid w:val="46D042EE"/>
    <w:rsid w:val="46D16ACA"/>
    <w:rsid w:val="46D52D51"/>
    <w:rsid w:val="46DD5C0B"/>
    <w:rsid w:val="46DF1FBF"/>
    <w:rsid w:val="46E022ED"/>
    <w:rsid w:val="46EF21DB"/>
    <w:rsid w:val="46FD7617"/>
    <w:rsid w:val="470843EF"/>
    <w:rsid w:val="47094506"/>
    <w:rsid w:val="47114D55"/>
    <w:rsid w:val="47141F06"/>
    <w:rsid w:val="47182D62"/>
    <w:rsid w:val="471D445C"/>
    <w:rsid w:val="471E3F58"/>
    <w:rsid w:val="472309E4"/>
    <w:rsid w:val="472869B2"/>
    <w:rsid w:val="47300A86"/>
    <w:rsid w:val="474534D5"/>
    <w:rsid w:val="474748B8"/>
    <w:rsid w:val="47481089"/>
    <w:rsid w:val="474F1D3A"/>
    <w:rsid w:val="475313E2"/>
    <w:rsid w:val="475859FF"/>
    <w:rsid w:val="4760190B"/>
    <w:rsid w:val="47602676"/>
    <w:rsid w:val="47614AC3"/>
    <w:rsid w:val="476C1AC0"/>
    <w:rsid w:val="476F2046"/>
    <w:rsid w:val="47720A2A"/>
    <w:rsid w:val="47731FF4"/>
    <w:rsid w:val="477425E0"/>
    <w:rsid w:val="477A3588"/>
    <w:rsid w:val="477C2015"/>
    <w:rsid w:val="4786705B"/>
    <w:rsid w:val="4787376B"/>
    <w:rsid w:val="47893E12"/>
    <w:rsid w:val="478B7B20"/>
    <w:rsid w:val="478F13B8"/>
    <w:rsid w:val="4790050F"/>
    <w:rsid w:val="479414F8"/>
    <w:rsid w:val="479B079D"/>
    <w:rsid w:val="479E0111"/>
    <w:rsid w:val="479F7E47"/>
    <w:rsid w:val="47A11CD5"/>
    <w:rsid w:val="47A16FD9"/>
    <w:rsid w:val="47AA6BAC"/>
    <w:rsid w:val="47AE1500"/>
    <w:rsid w:val="47B00EBC"/>
    <w:rsid w:val="47B61544"/>
    <w:rsid w:val="47B6457E"/>
    <w:rsid w:val="47BA53FA"/>
    <w:rsid w:val="47BB60CC"/>
    <w:rsid w:val="47BC641B"/>
    <w:rsid w:val="47BF45EF"/>
    <w:rsid w:val="47C0593D"/>
    <w:rsid w:val="47C466A1"/>
    <w:rsid w:val="47C707AB"/>
    <w:rsid w:val="47D875D8"/>
    <w:rsid w:val="47D93A8D"/>
    <w:rsid w:val="47E20813"/>
    <w:rsid w:val="47E2682D"/>
    <w:rsid w:val="47F35C9B"/>
    <w:rsid w:val="47F41450"/>
    <w:rsid w:val="47F92036"/>
    <w:rsid w:val="48015383"/>
    <w:rsid w:val="4803251F"/>
    <w:rsid w:val="480344B7"/>
    <w:rsid w:val="48073110"/>
    <w:rsid w:val="480A79A2"/>
    <w:rsid w:val="480C565C"/>
    <w:rsid w:val="4811703D"/>
    <w:rsid w:val="481269AC"/>
    <w:rsid w:val="48180304"/>
    <w:rsid w:val="481A6999"/>
    <w:rsid w:val="481B1FD2"/>
    <w:rsid w:val="481B7951"/>
    <w:rsid w:val="481C1738"/>
    <w:rsid w:val="48336157"/>
    <w:rsid w:val="48351332"/>
    <w:rsid w:val="483738F4"/>
    <w:rsid w:val="483739F0"/>
    <w:rsid w:val="48403E5B"/>
    <w:rsid w:val="48463543"/>
    <w:rsid w:val="48475DC3"/>
    <w:rsid w:val="484F4785"/>
    <w:rsid w:val="485A1645"/>
    <w:rsid w:val="486022CA"/>
    <w:rsid w:val="486023CF"/>
    <w:rsid w:val="486A6C4D"/>
    <w:rsid w:val="48735290"/>
    <w:rsid w:val="48826E4F"/>
    <w:rsid w:val="488756B7"/>
    <w:rsid w:val="48935FF3"/>
    <w:rsid w:val="48947CF4"/>
    <w:rsid w:val="48996A7A"/>
    <w:rsid w:val="489A5C45"/>
    <w:rsid w:val="489A6948"/>
    <w:rsid w:val="489F3EA1"/>
    <w:rsid w:val="48A60241"/>
    <w:rsid w:val="48AA7539"/>
    <w:rsid w:val="48BF46C6"/>
    <w:rsid w:val="48C24F17"/>
    <w:rsid w:val="48C95F83"/>
    <w:rsid w:val="48CC7DF8"/>
    <w:rsid w:val="48CD1A43"/>
    <w:rsid w:val="48D012AA"/>
    <w:rsid w:val="48D74EB8"/>
    <w:rsid w:val="48ED62C4"/>
    <w:rsid w:val="48EF6EDE"/>
    <w:rsid w:val="48FC17A9"/>
    <w:rsid w:val="49010FBD"/>
    <w:rsid w:val="49057C48"/>
    <w:rsid w:val="490D6326"/>
    <w:rsid w:val="490F2133"/>
    <w:rsid w:val="49150918"/>
    <w:rsid w:val="49187C8C"/>
    <w:rsid w:val="491E0E1F"/>
    <w:rsid w:val="491E3E76"/>
    <w:rsid w:val="492334BD"/>
    <w:rsid w:val="492D47A8"/>
    <w:rsid w:val="492D7CEB"/>
    <w:rsid w:val="493326F2"/>
    <w:rsid w:val="4936343F"/>
    <w:rsid w:val="49367A07"/>
    <w:rsid w:val="494257B1"/>
    <w:rsid w:val="49431B10"/>
    <w:rsid w:val="49460E51"/>
    <w:rsid w:val="49495EA9"/>
    <w:rsid w:val="494B5AB3"/>
    <w:rsid w:val="4951175E"/>
    <w:rsid w:val="4956434A"/>
    <w:rsid w:val="4961738C"/>
    <w:rsid w:val="49690E16"/>
    <w:rsid w:val="4972559F"/>
    <w:rsid w:val="497255B2"/>
    <w:rsid w:val="49745041"/>
    <w:rsid w:val="497B0478"/>
    <w:rsid w:val="497E21F9"/>
    <w:rsid w:val="4986434A"/>
    <w:rsid w:val="49870857"/>
    <w:rsid w:val="498778DA"/>
    <w:rsid w:val="49916397"/>
    <w:rsid w:val="499800AF"/>
    <w:rsid w:val="49997000"/>
    <w:rsid w:val="499C0533"/>
    <w:rsid w:val="49AA1EB6"/>
    <w:rsid w:val="49AB21BF"/>
    <w:rsid w:val="49AF2C65"/>
    <w:rsid w:val="49B13A18"/>
    <w:rsid w:val="49C61C0B"/>
    <w:rsid w:val="49C97AAA"/>
    <w:rsid w:val="49D86A15"/>
    <w:rsid w:val="49DE5A2A"/>
    <w:rsid w:val="49DF2042"/>
    <w:rsid w:val="49E0204B"/>
    <w:rsid w:val="49E2444F"/>
    <w:rsid w:val="49E350E7"/>
    <w:rsid w:val="49EE31B9"/>
    <w:rsid w:val="49EF1498"/>
    <w:rsid w:val="49F140BB"/>
    <w:rsid w:val="49F37771"/>
    <w:rsid w:val="49F500BF"/>
    <w:rsid w:val="49F57607"/>
    <w:rsid w:val="49F60DD9"/>
    <w:rsid w:val="49F70608"/>
    <w:rsid w:val="49F84A5E"/>
    <w:rsid w:val="4A0F3678"/>
    <w:rsid w:val="4A195E7F"/>
    <w:rsid w:val="4A1D4B42"/>
    <w:rsid w:val="4A204C60"/>
    <w:rsid w:val="4A2109F8"/>
    <w:rsid w:val="4A2335BE"/>
    <w:rsid w:val="4A2569DD"/>
    <w:rsid w:val="4A2941D7"/>
    <w:rsid w:val="4A2C4233"/>
    <w:rsid w:val="4A2E74C7"/>
    <w:rsid w:val="4A3754CF"/>
    <w:rsid w:val="4A3820F6"/>
    <w:rsid w:val="4A3B4A87"/>
    <w:rsid w:val="4A4137B9"/>
    <w:rsid w:val="4A460BF4"/>
    <w:rsid w:val="4A492059"/>
    <w:rsid w:val="4A4A38D2"/>
    <w:rsid w:val="4A4E5EAD"/>
    <w:rsid w:val="4A5801CE"/>
    <w:rsid w:val="4A5866C3"/>
    <w:rsid w:val="4A63653B"/>
    <w:rsid w:val="4A66763A"/>
    <w:rsid w:val="4A675F33"/>
    <w:rsid w:val="4A6E3767"/>
    <w:rsid w:val="4A734E9A"/>
    <w:rsid w:val="4A7407D1"/>
    <w:rsid w:val="4A790300"/>
    <w:rsid w:val="4A7B047F"/>
    <w:rsid w:val="4A7B27DC"/>
    <w:rsid w:val="4A7C6689"/>
    <w:rsid w:val="4A882CA2"/>
    <w:rsid w:val="4A8B0DCF"/>
    <w:rsid w:val="4A8B6EA4"/>
    <w:rsid w:val="4A8D1B6D"/>
    <w:rsid w:val="4A902DB1"/>
    <w:rsid w:val="4A907939"/>
    <w:rsid w:val="4A921DCB"/>
    <w:rsid w:val="4A9509BF"/>
    <w:rsid w:val="4A950FF3"/>
    <w:rsid w:val="4A974052"/>
    <w:rsid w:val="4A98615C"/>
    <w:rsid w:val="4A9C096E"/>
    <w:rsid w:val="4A9E4C53"/>
    <w:rsid w:val="4A9F48C0"/>
    <w:rsid w:val="4AA13D21"/>
    <w:rsid w:val="4AA1670D"/>
    <w:rsid w:val="4AAA210D"/>
    <w:rsid w:val="4AAB4114"/>
    <w:rsid w:val="4AAD26E0"/>
    <w:rsid w:val="4AB72242"/>
    <w:rsid w:val="4AB75ACC"/>
    <w:rsid w:val="4AB93AF3"/>
    <w:rsid w:val="4ABA75FF"/>
    <w:rsid w:val="4ACC3AF6"/>
    <w:rsid w:val="4AD85DD7"/>
    <w:rsid w:val="4ADB68FE"/>
    <w:rsid w:val="4AE06B32"/>
    <w:rsid w:val="4AE2133D"/>
    <w:rsid w:val="4AF23E2A"/>
    <w:rsid w:val="4AF82668"/>
    <w:rsid w:val="4AF97B09"/>
    <w:rsid w:val="4AFA391B"/>
    <w:rsid w:val="4AFE7037"/>
    <w:rsid w:val="4AFE7639"/>
    <w:rsid w:val="4B01452C"/>
    <w:rsid w:val="4B0163C7"/>
    <w:rsid w:val="4B021F3A"/>
    <w:rsid w:val="4B053619"/>
    <w:rsid w:val="4B165E97"/>
    <w:rsid w:val="4B216BAA"/>
    <w:rsid w:val="4B271784"/>
    <w:rsid w:val="4B2A42F2"/>
    <w:rsid w:val="4B2B7EB0"/>
    <w:rsid w:val="4B2F4C86"/>
    <w:rsid w:val="4B3C21FB"/>
    <w:rsid w:val="4B3D780E"/>
    <w:rsid w:val="4B41535C"/>
    <w:rsid w:val="4B4B14CB"/>
    <w:rsid w:val="4B507698"/>
    <w:rsid w:val="4B510A05"/>
    <w:rsid w:val="4B513CAB"/>
    <w:rsid w:val="4B5557CE"/>
    <w:rsid w:val="4B5C75C8"/>
    <w:rsid w:val="4B630257"/>
    <w:rsid w:val="4B641ADE"/>
    <w:rsid w:val="4B6A5571"/>
    <w:rsid w:val="4B7115CD"/>
    <w:rsid w:val="4B80038B"/>
    <w:rsid w:val="4B80710A"/>
    <w:rsid w:val="4B8526CA"/>
    <w:rsid w:val="4B852FF3"/>
    <w:rsid w:val="4B875853"/>
    <w:rsid w:val="4B893E23"/>
    <w:rsid w:val="4B8A23C7"/>
    <w:rsid w:val="4B993988"/>
    <w:rsid w:val="4BA16ACF"/>
    <w:rsid w:val="4BAC54FF"/>
    <w:rsid w:val="4BB21DBE"/>
    <w:rsid w:val="4BB92D0D"/>
    <w:rsid w:val="4BBB1785"/>
    <w:rsid w:val="4BBD0C1B"/>
    <w:rsid w:val="4BBF3D4A"/>
    <w:rsid w:val="4BC249E4"/>
    <w:rsid w:val="4BC84486"/>
    <w:rsid w:val="4BD06699"/>
    <w:rsid w:val="4BD436AD"/>
    <w:rsid w:val="4BDB7B46"/>
    <w:rsid w:val="4BDD3AD5"/>
    <w:rsid w:val="4BE311DE"/>
    <w:rsid w:val="4BE50244"/>
    <w:rsid w:val="4BE56559"/>
    <w:rsid w:val="4BF740B0"/>
    <w:rsid w:val="4BFA2DE3"/>
    <w:rsid w:val="4C033A87"/>
    <w:rsid w:val="4C087D61"/>
    <w:rsid w:val="4C1B7BE8"/>
    <w:rsid w:val="4C200EB6"/>
    <w:rsid w:val="4C26612B"/>
    <w:rsid w:val="4C2A402E"/>
    <w:rsid w:val="4C2F2A42"/>
    <w:rsid w:val="4C363034"/>
    <w:rsid w:val="4C3708C7"/>
    <w:rsid w:val="4C410E96"/>
    <w:rsid w:val="4C44310B"/>
    <w:rsid w:val="4C4B547A"/>
    <w:rsid w:val="4C4B788F"/>
    <w:rsid w:val="4C4D22B4"/>
    <w:rsid w:val="4C4E1B74"/>
    <w:rsid w:val="4C4F6595"/>
    <w:rsid w:val="4C5033E6"/>
    <w:rsid w:val="4C587290"/>
    <w:rsid w:val="4C591C56"/>
    <w:rsid w:val="4C674A1C"/>
    <w:rsid w:val="4C6D3286"/>
    <w:rsid w:val="4C6D3407"/>
    <w:rsid w:val="4C7234A2"/>
    <w:rsid w:val="4C7B0A83"/>
    <w:rsid w:val="4C7B2398"/>
    <w:rsid w:val="4C7C5785"/>
    <w:rsid w:val="4C7E5DD7"/>
    <w:rsid w:val="4C7F27FA"/>
    <w:rsid w:val="4C822CF5"/>
    <w:rsid w:val="4C861738"/>
    <w:rsid w:val="4C865F0F"/>
    <w:rsid w:val="4C8F0C5E"/>
    <w:rsid w:val="4C944672"/>
    <w:rsid w:val="4C9C3161"/>
    <w:rsid w:val="4CAD25C3"/>
    <w:rsid w:val="4CAE4BD5"/>
    <w:rsid w:val="4CB275A7"/>
    <w:rsid w:val="4CB35912"/>
    <w:rsid w:val="4CB713E0"/>
    <w:rsid w:val="4CBE3B09"/>
    <w:rsid w:val="4CCA2578"/>
    <w:rsid w:val="4CCA4B56"/>
    <w:rsid w:val="4CCF0F32"/>
    <w:rsid w:val="4CD0022A"/>
    <w:rsid w:val="4CD21D3E"/>
    <w:rsid w:val="4CD23681"/>
    <w:rsid w:val="4CD3390C"/>
    <w:rsid w:val="4CD44E74"/>
    <w:rsid w:val="4CDF6DCE"/>
    <w:rsid w:val="4CE20538"/>
    <w:rsid w:val="4CE51E34"/>
    <w:rsid w:val="4CE52798"/>
    <w:rsid w:val="4CE55770"/>
    <w:rsid w:val="4CF13378"/>
    <w:rsid w:val="4CF45C4C"/>
    <w:rsid w:val="4D04332A"/>
    <w:rsid w:val="4D131D71"/>
    <w:rsid w:val="4D17056A"/>
    <w:rsid w:val="4D187519"/>
    <w:rsid w:val="4D1D4DDB"/>
    <w:rsid w:val="4D1E77FA"/>
    <w:rsid w:val="4D242400"/>
    <w:rsid w:val="4D291057"/>
    <w:rsid w:val="4D2936CF"/>
    <w:rsid w:val="4D2B00F2"/>
    <w:rsid w:val="4D2B36E7"/>
    <w:rsid w:val="4D2D41E0"/>
    <w:rsid w:val="4D301082"/>
    <w:rsid w:val="4D3C6362"/>
    <w:rsid w:val="4D4107EF"/>
    <w:rsid w:val="4D412D22"/>
    <w:rsid w:val="4D4B69DA"/>
    <w:rsid w:val="4D4D291C"/>
    <w:rsid w:val="4D4F03D2"/>
    <w:rsid w:val="4D562BF3"/>
    <w:rsid w:val="4D5901B8"/>
    <w:rsid w:val="4D5B18AD"/>
    <w:rsid w:val="4D60174A"/>
    <w:rsid w:val="4D6220E6"/>
    <w:rsid w:val="4D632679"/>
    <w:rsid w:val="4D650E47"/>
    <w:rsid w:val="4D661112"/>
    <w:rsid w:val="4D675428"/>
    <w:rsid w:val="4D681B13"/>
    <w:rsid w:val="4D6E1620"/>
    <w:rsid w:val="4D6F75D9"/>
    <w:rsid w:val="4D7009EF"/>
    <w:rsid w:val="4D7A6C1A"/>
    <w:rsid w:val="4D7C4802"/>
    <w:rsid w:val="4D855450"/>
    <w:rsid w:val="4D9C3801"/>
    <w:rsid w:val="4D9C4217"/>
    <w:rsid w:val="4DA417E5"/>
    <w:rsid w:val="4DA672E6"/>
    <w:rsid w:val="4DA95AE6"/>
    <w:rsid w:val="4DAC47DE"/>
    <w:rsid w:val="4DB301C6"/>
    <w:rsid w:val="4DBB4E1B"/>
    <w:rsid w:val="4DBB6996"/>
    <w:rsid w:val="4DBC2BF6"/>
    <w:rsid w:val="4DBD733F"/>
    <w:rsid w:val="4DCC76A8"/>
    <w:rsid w:val="4DD02233"/>
    <w:rsid w:val="4DD15A81"/>
    <w:rsid w:val="4DD96FEB"/>
    <w:rsid w:val="4DF325EE"/>
    <w:rsid w:val="4DFD7741"/>
    <w:rsid w:val="4E033CBA"/>
    <w:rsid w:val="4E2129F7"/>
    <w:rsid w:val="4E25637A"/>
    <w:rsid w:val="4E280DAD"/>
    <w:rsid w:val="4E2A6C02"/>
    <w:rsid w:val="4E477693"/>
    <w:rsid w:val="4E4E1E93"/>
    <w:rsid w:val="4E52270D"/>
    <w:rsid w:val="4E53562E"/>
    <w:rsid w:val="4E5670B8"/>
    <w:rsid w:val="4E60232C"/>
    <w:rsid w:val="4E604BF1"/>
    <w:rsid w:val="4E664CFA"/>
    <w:rsid w:val="4E6C51DE"/>
    <w:rsid w:val="4E6D7A53"/>
    <w:rsid w:val="4E736FE0"/>
    <w:rsid w:val="4E774EB1"/>
    <w:rsid w:val="4E7C517C"/>
    <w:rsid w:val="4E812922"/>
    <w:rsid w:val="4E8617E5"/>
    <w:rsid w:val="4E87051D"/>
    <w:rsid w:val="4E886DE7"/>
    <w:rsid w:val="4E8908FF"/>
    <w:rsid w:val="4E8C5E16"/>
    <w:rsid w:val="4E8F21DA"/>
    <w:rsid w:val="4E926C43"/>
    <w:rsid w:val="4E9352D5"/>
    <w:rsid w:val="4E9739C6"/>
    <w:rsid w:val="4E9A1F1B"/>
    <w:rsid w:val="4E9A20A3"/>
    <w:rsid w:val="4EA065E7"/>
    <w:rsid w:val="4EA63435"/>
    <w:rsid w:val="4EA744FC"/>
    <w:rsid w:val="4EAC0A82"/>
    <w:rsid w:val="4EAE04B9"/>
    <w:rsid w:val="4EB21090"/>
    <w:rsid w:val="4EB35A50"/>
    <w:rsid w:val="4EC80529"/>
    <w:rsid w:val="4EC967C7"/>
    <w:rsid w:val="4ECE1C0B"/>
    <w:rsid w:val="4ED02309"/>
    <w:rsid w:val="4ED25B3F"/>
    <w:rsid w:val="4ED44E8E"/>
    <w:rsid w:val="4ED73A16"/>
    <w:rsid w:val="4EDD12D5"/>
    <w:rsid w:val="4EE5633E"/>
    <w:rsid w:val="4EE77091"/>
    <w:rsid w:val="4EE91A0E"/>
    <w:rsid w:val="4EEB20F0"/>
    <w:rsid w:val="4EF02681"/>
    <w:rsid w:val="4EF25D4C"/>
    <w:rsid w:val="4EF356B6"/>
    <w:rsid w:val="4EFB2EE9"/>
    <w:rsid w:val="4EFF7F59"/>
    <w:rsid w:val="4F0431FB"/>
    <w:rsid w:val="4F0B1F28"/>
    <w:rsid w:val="4F0F36D6"/>
    <w:rsid w:val="4F137A3F"/>
    <w:rsid w:val="4F224BFB"/>
    <w:rsid w:val="4F2726AA"/>
    <w:rsid w:val="4F2A2998"/>
    <w:rsid w:val="4F2C600D"/>
    <w:rsid w:val="4F2D558D"/>
    <w:rsid w:val="4F324324"/>
    <w:rsid w:val="4F337946"/>
    <w:rsid w:val="4F38064C"/>
    <w:rsid w:val="4F393D0F"/>
    <w:rsid w:val="4F396204"/>
    <w:rsid w:val="4F3A1AB2"/>
    <w:rsid w:val="4F3E2E41"/>
    <w:rsid w:val="4F445928"/>
    <w:rsid w:val="4F467E4F"/>
    <w:rsid w:val="4F473ED5"/>
    <w:rsid w:val="4F4D6E4D"/>
    <w:rsid w:val="4F547BB3"/>
    <w:rsid w:val="4F60590F"/>
    <w:rsid w:val="4F6920B3"/>
    <w:rsid w:val="4F6A0B2F"/>
    <w:rsid w:val="4F6C5FD1"/>
    <w:rsid w:val="4F735EE7"/>
    <w:rsid w:val="4F742772"/>
    <w:rsid w:val="4F7859FF"/>
    <w:rsid w:val="4F7B78E4"/>
    <w:rsid w:val="4F8611DF"/>
    <w:rsid w:val="4F880D4C"/>
    <w:rsid w:val="4F89050A"/>
    <w:rsid w:val="4F8B4401"/>
    <w:rsid w:val="4F93395C"/>
    <w:rsid w:val="4F9D0AF4"/>
    <w:rsid w:val="4FA009EF"/>
    <w:rsid w:val="4FA837E6"/>
    <w:rsid w:val="4FA93915"/>
    <w:rsid w:val="4FB53CA8"/>
    <w:rsid w:val="4FB6006A"/>
    <w:rsid w:val="4FB76BBA"/>
    <w:rsid w:val="4FBA5054"/>
    <w:rsid w:val="4FBF5066"/>
    <w:rsid w:val="4FC43E55"/>
    <w:rsid w:val="4FC5425D"/>
    <w:rsid w:val="4FC61CCB"/>
    <w:rsid w:val="4FC67CAE"/>
    <w:rsid w:val="4FC71D69"/>
    <w:rsid w:val="4FD15D9F"/>
    <w:rsid w:val="4FD31666"/>
    <w:rsid w:val="4FD7090E"/>
    <w:rsid w:val="4FD8586E"/>
    <w:rsid w:val="4FDE40CF"/>
    <w:rsid w:val="4FE365FB"/>
    <w:rsid w:val="4FE44A1C"/>
    <w:rsid w:val="4FE670DA"/>
    <w:rsid w:val="4FF06742"/>
    <w:rsid w:val="4FF321C1"/>
    <w:rsid w:val="4FF853CA"/>
    <w:rsid w:val="5000563B"/>
    <w:rsid w:val="500750F9"/>
    <w:rsid w:val="5018194B"/>
    <w:rsid w:val="501B5284"/>
    <w:rsid w:val="50211481"/>
    <w:rsid w:val="50256F59"/>
    <w:rsid w:val="50337671"/>
    <w:rsid w:val="503924DF"/>
    <w:rsid w:val="503B534C"/>
    <w:rsid w:val="50400892"/>
    <w:rsid w:val="50453CB4"/>
    <w:rsid w:val="50492090"/>
    <w:rsid w:val="504B22FE"/>
    <w:rsid w:val="504E052A"/>
    <w:rsid w:val="505144FB"/>
    <w:rsid w:val="5052586D"/>
    <w:rsid w:val="505E3DF0"/>
    <w:rsid w:val="506665DE"/>
    <w:rsid w:val="50686960"/>
    <w:rsid w:val="506E4AF4"/>
    <w:rsid w:val="50736D8A"/>
    <w:rsid w:val="5077179C"/>
    <w:rsid w:val="507B0AF0"/>
    <w:rsid w:val="507C387E"/>
    <w:rsid w:val="5084441F"/>
    <w:rsid w:val="508622BA"/>
    <w:rsid w:val="508733A0"/>
    <w:rsid w:val="50873589"/>
    <w:rsid w:val="508F7C50"/>
    <w:rsid w:val="509C278E"/>
    <w:rsid w:val="50A17BC5"/>
    <w:rsid w:val="50A80399"/>
    <w:rsid w:val="50A92292"/>
    <w:rsid w:val="50B205CC"/>
    <w:rsid w:val="50B233A8"/>
    <w:rsid w:val="50B82F35"/>
    <w:rsid w:val="50C503FD"/>
    <w:rsid w:val="50D01019"/>
    <w:rsid w:val="50D06CAD"/>
    <w:rsid w:val="50D25BEB"/>
    <w:rsid w:val="50EC7C24"/>
    <w:rsid w:val="50EE4B34"/>
    <w:rsid w:val="50F2338A"/>
    <w:rsid w:val="50FA623B"/>
    <w:rsid w:val="50FC1CD6"/>
    <w:rsid w:val="51037E77"/>
    <w:rsid w:val="51053B65"/>
    <w:rsid w:val="51073FE5"/>
    <w:rsid w:val="510A3B5F"/>
    <w:rsid w:val="51160BA7"/>
    <w:rsid w:val="511766C4"/>
    <w:rsid w:val="512B33ED"/>
    <w:rsid w:val="51334EEA"/>
    <w:rsid w:val="513401EE"/>
    <w:rsid w:val="51341F99"/>
    <w:rsid w:val="513E00C5"/>
    <w:rsid w:val="51405A7B"/>
    <w:rsid w:val="51462BA1"/>
    <w:rsid w:val="514B283B"/>
    <w:rsid w:val="514F5458"/>
    <w:rsid w:val="51560924"/>
    <w:rsid w:val="515742B5"/>
    <w:rsid w:val="515E5D6B"/>
    <w:rsid w:val="51624532"/>
    <w:rsid w:val="51625B3E"/>
    <w:rsid w:val="51637D24"/>
    <w:rsid w:val="516A20CD"/>
    <w:rsid w:val="516A6CD3"/>
    <w:rsid w:val="51725536"/>
    <w:rsid w:val="517C3D85"/>
    <w:rsid w:val="518A749F"/>
    <w:rsid w:val="518C0460"/>
    <w:rsid w:val="518C5E55"/>
    <w:rsid w:val="518F7FAA"/>
    <w:rsid w:val="5191404D"/>
    <w:rsid w:val="519620F1"/>
    <w:rsid w:val="51A35F5B"/>
    <w:rsid w:val="51B850DB"/>
    <w:rsid w:val="51BF269F"/>
    <w:rsid w:val="51C20E19"/>
    <w:rsid w:val="51C752DD"/>
    <w:rsid w:val="51C76ACF"/>
    <w:rsid w:val="51C8234A"/>
    <w:rsid w:val="51D67EB3"/>
    <w:rsid w:val="51DA70B3"/>
    <w:rsid w:val="51E45280"/>
    <w:rsid w:val="51EA3FEF"/>
    <w:rsid w:val="51EB2A39"/>
    <w:rsid w:val="51ED3C7D"/>
    <w:rsid w:val="51ED402B"/>
    <w:rsid w:val="51ED422A"/>
    <w:rsid w:val="51F33CD5"/>
    <w:rsid w:val="52017EE2"/>
    <w:rsid w:val="52032AA6"/>
    <w:rsid w:val="520573DE"/>
    <w:rsid w:val="52065F83"/>
    <w:rsid w:val="520C585C"/>
    <w:rsid w:val="520E6EDA"/>
    <w:rsid w:val="520F1391"/>
    <w:rsid w:val="52102D05"/>
    <w:rsid w:val="521A1D52"/>
    <w:rsid w:val="521C586F"/>
    <w:rsid w:val="521E01F7"/>
    <w:rsid w:val="522630BD"/>
    <w:rsid w:val="522E31E7"/>
    <w:rsid w:val="52344590"/>
    <w:rsid w:val="5235510B"/>
    <w:rsid w:val="523A154A"/>
    <w:rsid w:val="52437488"/>
    <w:rsid w:val="52446A60"/>
    <w:rsid w:val="52467119"/>
    <w:rsid w:val="524A7951"/>
    <w:rsid w:val="525339B7"/>
    <w:rsid w:val="525E6005"/>
    <w:rsid w:val="526274CC"/>
    <w:rsid w:val="52650E53"/>
    <w:rsid w:val="52670DFD"/>
    <w:rsid w:val="526E33F7"/>
    <w:rsid w:val="526F2CC9"/>
    <w:rsid w:val="52741DDA"/>
    <w:rsid w:val="527958D4"/>
    <w:rsid w:val="527F2FB0"/>
    <w:rsid w:val="528158FC"/>
    <w:rsid w:val="52835496"/>
    <w:rsid w:val="52894E9D"/>
    <w:rsid w:val="528B6C58"/>
    <w:rsid w:val="528C1195"/>
    <w:rsid w:val="529102EF"/>
    <w:rsid w:val="52973CB2"/>
    <w:rsid w:val="529E45D6"/>
    <w:rsid w:val="52A13267"/>
    <w:rsid w:val="52A21509"/>
    <w:rsid w:val="52A329C2"/>
    <w:rsid w:val="52AB361C"/>
    <w:rsid w:val="52AE6E6B"/>
    <w:rsid w:val="52B54307"/>
    <w:rsid w:val="52BA4766"/>
    <w:rsid w:val="52C70954"/>
    <w:rsid w:val="52D056C6"/>
    <w:rsid w:val="52D450A2"/>
    <w:rsid w:val="52D66D74"/>
    <w:rsid w:val="52D82961"/>
    <w:rsid w:val="52D94293"/>
    <w:rsid w:val="52DF11C2"/>
    <w:rsid w:val="52E32D5A"/>
    <w:rsid w:val="52E50D0E"/>
    <w:rsid w:val="52F201C6"/>
    <w:rsid w:val="52FA4F96"/>
    <w:rsid w:val="52FC489D"/>
    <w:rsid w:val="52FE3D07"/>
    <w:rsid w:val="5306213F"/>
    <w:rsid w:val="53084A6D"/>
    <w:rsid w:val="530B4FBC"/>
    <w:rsid w:val="531B7A70"/>
    <w:rsid w:val="531E1CA2"/>
    <w:rsid w:val="531E38E9"/>
    <w:rsid w:val="531F3279"/>
    <w:rsid w:val="532A5CBD"/>
    <w:rsid w:val="532E169E"/>
    <w:rsid w:val="532F71D5"/>
    <w:rsid w:val="53302273"/>
    <w:rsid w:val="53364BB0"/>
    <w:rsid w:val="533E0D1B"/>
    <w:rsid w:val="53412159"/>
    <w:rsid w:val="53575C9E"/>
    <w:rsid w:val="53595A3F"/>
    <w:rsid w:val="535B27DD"/>
    <w:rsid w:val="535C0AE8"/>
    <w:rsid w:val="535E27F1"/>
    <w:rsid w:val="535F1D5B"/>
    <w:rsid w:val="535F216D"/>
    <w:rsid w:val="53602A49"/>
    <w:rsid w:val="536125D4"/>
    <w:rsid w:val="53695980"/>
    <w:rsid w:val="536F6161"/>
    <w:rsid w:val="538541E0"/>
    <w:rsid w:val="5391452E"/>
    <w:rsid w:val="53944C48"/>
    <w:rsid w:val="53A20569"/>
    <w:rsid w:val="53AB46BD"/>
    <w:rsid w:val="53B11B47"/>
    <w:rsid w:val="53B15011"/>
    <w:rsid w:val="53B43AC4"/>
    <w:rsid w:val="53BB4E7D"/>
    <w:rsid w:val="53C1591C"/>
    <w:rsid w:val="53C70392"/>
    <w:rsid w:val="53C85FEF"/>
    <w:rsid w:val="53CB508A"/>
    <w:rsid w:val="53CC2249"/>
    <w:rsid w:val="53D15222"/>
    <w:rsid w:val="53D25035"/>
    <w:rsid w:val="53D92735"/>
    <w:rsid w:val="53DD6BDF"/>
    <w:rsid w:val="53E53547"/>
    <w:rsid w:val="53EA3682"/>
    <w:rsid w:val="53F13C1C"/>
    <w:rsid w:val="53F57FDE"/>
    <w:rsid w:val="53FD1DBA"/>
    <w:rsid w:val="54050B3F"/>
    <w:rsid w:val="5410248C"/>
    <w:rsid w:val="54170726"/>
    <w:rsid w:val="541C2805"/>
    <w:rsid w:val="541C2FD9"/>
    <w:rsid w:val="541C517E"/>
    <w:rsid w:val="5427290F"/>
    <w:rsid w:val="5428339E"/>
    <w:rsid w:val="54291ABE"/>
    <w:rsid w:val="5437233F"/>
    <w:rsid w:val="543A0FAE"/>
    <w:rsid w:val="543A297F"/>
    <w:rsid w:val="543B2CEE"/>
    <w:rsid w:val="543F13FB"/>
    <w:rsid w:val="543F520D"/>
    <w:rsid w:val="54413686"/>
    <w:rsid w:val="54440A96"/>
    <w:rsid w:val="54456AF3"/>
    <w:rsid w:val="54482022"/>
    <w:rsid w:val="544E7F40"/>
    <w:rsid w:val="54501A91"/>
    <w:rsid w:val="54534F83"/>
    <w:rsid w:val="54560957"/>
    <w:rsid w:val="54581D98"/>
    <w:rsid w:val="545E61A7"/>
    <w:rsid w:val="54601650"/>
    <w:rsid w:val="546018E7"/>
    <w:rsid w:val="546170CC"/>
    <w:rsid w:val="54642BC8"/>
    <w:rsid w:val="546711ED"/>
    <w:rsid w:val="54761885"/>
    <w:rsid w:val="547717B7"/>
    <w:rsid w:val="54786383"/>
    <w:rsid w:val="54790C7A"/>
    <w:rsid w:val="547B72AC"/>
    <w:rsid w:val="547C08F4"/>
    <w:rsid w:val="54904E0E"/>
    <w:rsid w:val="54A12DA2"/>
    <w:rsid w:val="54A14346"/>
    <w:rsid w:val="54A20A4B"/>
    <w:rsid w:val="54A97447"/>
    <w:rsid w:val="54AA1CC9"/>
    <w:rsid w:val="54B8033A"/>
    <w:rsid w:val="54B94C6F"/>
    <w:rsid w:val="54C154A3"/>
    <w:rsid w:val="54C701BB"/>
    <w:rsid w:val="54C7509E"/>
    <w:rsid w:val="54D226DE"/>
    <w:rsid w:val="54D22877"/>
    <w:rsid w:val="54D31F68"/>
    <w:rsid w:val="54D4182E"/>
    <w:rsid w:val="54D757A2"/>
    <w:rsid w:val="54DF1547"/>
    <w:rsid w:val="54DF78C5"/>
    <w:rsid w:val="54EA4DC9"/>
    <w:rsid w:val="54F070B1"/>
    <w:rsid w:val="54F12903"/>
    <w:rsid w:val="54F624B5"/>
    <w:rsid w:val="54F63A2B"/>
    <w:rsid w:val="54F6613F"/>
    <w:rsid w:val="54F92428"/>
    <w:rsid w:val="55000CDE"/>
    <w:rsid w:val="55040D40"/>
    <w:rsid w:val="5507518C"/>
    <w:rsid w:val="55085030"/>
    <w:rsid w:val="550913FE"/>
    <w:rsid w:val="550B36F1"/>
    <w:rsid w:val="55103F7D"/>
    <w:rsid w:val="55122416"/>
    <w:rsid w:val="55130373"/>
    <w:rsid w:val="551A6E13"/>
    <w:rsid w:val="551E01B6"/>
    <w:rsid w:val="5524357A"/>
    <w:rsid w:val="55297237"/>
    <w:rsid w:val="552E1C96"/>
    <w:rsid w:val="55304DA0"/>
    <w:rsid w:val="55337009"/>
    <w:rsid w:val="5535041D"/>
    <w:rsid w:val="55356DA1"/>
    <w:rsid w:val="55444D87"/>
    <w:rsid w:val="55485948"/>
    <w:rsid w:val="55554312"/>
    <w:rsid w:val="556141C6"/>
    <w:rsid w:val="55643583"/>
    <w:rsid w:val="556612E1"/>
    <w:rsid w:val="55682266"/>
    <w:rsid w:val="556947B2"/>
    <w:rsid w:val="556A6E75"/>
    <w:rsid w:val="5573666A"/>
    <w:rsid w:val="557B0CC5"/>
    <w:rsid w:val="55817637"/>
    <w:rsid w:val="55844863"/>
    <w:rsid w:val="55884DF1"/>
    <w:rsid w:val="55892FE4"/>
    <w:rsid w:val="558C586F"/>
    <w:rsid w:val="558E6BD3"/>
    <w:rsid w:val="558F5FAA"/>
    <w:rsid w:val="55915AD5"/>
    <w:rsid w:val="559231D5"/>
    <w:rsid w:val="55951003"/>
    <w:rsid w:val="55986C60"/>
    <w:rsid w:val="559D3E01"/>
    <w:rsid w:val="559D700D"/>
    <w:rsid w:val="55A04728"/>
    <w:rsid w:val="55A35D2A"/>
    <w:rsid w:val="55AC1682"/>
    <w:rsid w:val="55AD25C4"/>
    <w:rsid w:val="55AE4361"/>
    <w:rsid w:val="55AF5851"/>
    <w:rsid w:val="55B21EB3"/>
    <w:rsid w:val="55B43270"/>
    <w:rsid w:val="55B5476B"/>
    <w:rsid w:val="55B56604"/>
    <w:rsid w:val="55B67943"/>
    <w:rsid w:val="55B80CF6"/>
    <w:rsid w:val="55BF55BE"/>
    <w:rsid w:val="55C0099D"/>
    <w:rsid w:val="55C31623"/>
    <w:rsid w:val="55CD2CFB"/>
    <w:rsid w:val="55CE6F62"/>
    <w:rsid w:val="55D026BD"/>
    <w:rsid w:val="55D81E95"/>
    <w:rsid w:val="55D8267A"/>
    <w:rsid w:val="55DC1CA2"/>
    <w:rsid w:val="55EA64D6"/>
    <w:rsid w:val="55F81E1F"/>
    <w:rsid w:val="55FB021B"/>
    <w:rsid w:val="55FE2F67"/>
    <w:rsid w:val="55FF29F5"/>
    <w:rsid w:val="560073AD"/>
    <w:rsid w:val="56095ADA"/>
    <w:rsid w:val="56132DCA"/>
    <w:rsid w:val="561C357A"/>
    <w:rsid w:val="561C62B3"/>
    <w:rsid w:val="562536FF"/>
    <w:rsid w:val="562F4E58"/>
    <w:rsid w:val="562F4EAC"/>
    <w:rsid w:val="56306C61"/>
    <w:rsid w:val="56310716"/>
    <w:rsid w:val="56330891"/>
    <w:rsid w:val="563671C2"/>
    <w:rsid w:val="5638187B"/>
    <w:rsid w:val="56382C9B"/>
    <w:rsid w:val="563E270F"/>
    <w:rsid w:val="563E3472"/>
    <w:rsid w:val="564517C5"/>
    <w:rsid w:val="564973A5"/>
    <w:rsid w:val="564C02A3"/>
    <w:rsid w:val="5653619F"/>
    <w:rsid w:val="56571408"/>
    <w:rsid w:val="565A1740"/>
    <w:rsid w:val="565C4BAB"/>
    <w:rsid w:val="565E562B"/>
    <w:rsid w:val="56641C17"/>
    <w:rsid w:val="566468CE"/>
    <w:rsid w:val="56684FBD"/>
    <w:rsid w:val="5668792D"/>
    <w:rsid w:val="566C6E78"/>
    <w:rsid w:val="566D1439"/>
    <w:rsid w:val="566F2448"/>
    <w:rsid w:val="567154C7"/>
    <w:rsid w:val="5672525D"/>
    <w:rsid w:val="56861693"/>
    <w:rsid w:val="568A24E0"/>
    <w:rsid w:val="568B1F98"/>
    <w:rsid w:val="569703EC"/>
    <w:rsid w:val="569741A7"/>
    <w:rsid w:val="56974DDD"/>
    <w:rsid w:val="5698450B"/>
    <w:rsid w:val="56996B92"/>
    <w:rsid w:val="569E1D22"/>
    <w:rsid w:val="56A34E9C"/>
    <w:rsid w:val="56A47239"/>
    <w:rsid w:val="56AA180B"/>
    <w:rsid w:val="56B25D7A"/>
    <w:rsid w:val="56B640D2"/>
    <w:rsid w:val="56C02D01"/>
    <w:rsid w:val="56C164F8"/>
    <w:rsid w:val="56C33D6C"/>
    <w:rsid w:val="56C65178"/>
    <w:rsid w:val="56C94DFF"/>
    <w:rsid w:val="56CB446C"/>
    <w:rsid w:val="56D22B86"/>
    <w:rsid w:val="56D81247"/>
    <w:rsid w:val="56DD3680"/>
    <w:rsid w:val="56EA3A4A"/>
    <w:rsid w:val="56F351B3"/>
    <w:rsid w:val="5709566E"/>
    <w:rsid w:val="570D17DB"/>
    <w:rsid w:val="570F4C28"/>
    <w:rsid w:val="57102CCA"/>
    <w:rsid w:val="571032FB"/>
    <w:rsid w:val="5714310B"/>
    <w:rsid w:val="57182EC3"/>
    <w:rsid w:val="571C06CA"/>
    <w:rsid w:val="571D461D"/>
    <w:rsid w:val="57263861"/>
    <w:rsid w:val="573436CE"/>
    <w:rsid w:val="57407AA3"/>
    <w:rsid w:val="574170B8"/>
    <w:rsid w:val="57504ABF"/>
    <w:rsid w:val="57560603"/>
    <w:rsid w:val="575955B8"/>
    <w:rsid w:val="575B1692"/>
    <w:rsid w:val="575B291D"/>
    <w:rsid w:val="57625CED"/>
    <w:rsid w:val="576F0922"/>
    <w:rsid w:val="5771782B"/>
    <w:rsid w:val="577B7843"/>
    <w:rsid w:val="57884D90"/>
    <w:rsid w:val="57962A95"/>
    <w:rsid w:val="579B0F15"/>
    <w:rsid w:val="579C4914"/>
    <w:rsid w:val="57A26A7D"/>
    <w:rsid w:val="57B56712"/>
    <w:rsid w:val="57B82D47"/>
    <w:rsid w:val="57BA47B6"/>
    <w:rsid w:val="57C03B5D"/>
    <w:rsid w:val="57C24937"/>
    <w:rsid w:val="57C561D3"/>
    <w:rsid w:val="57C77A03"/>
    <w:rsid w:val="57C85770"/>
    <w:rsid w:val="57CA4FE3"/>
    <w:rsid w:val="57CC12AF"/>
    <w:rsid w:val="57CD2E1B"/>
    <w:rsid w:val="57D0232B"/>
    <w:rsid w:val="57D33C39"/>
    <w:rsid w:val="57D3650B"/>
    <w:rsid w:val="57D5039E"/>
    <w:rsid w:val="57D64087"/>
    <w:rsid w:val="57D8078F"/>
    <w:rsid w:val="57DF7635"/>
    <w:rsid w:val="57E760C9"/>
    <w:rsid w:val="57F42D37"/>
    <w:rsid w:val="57F667B5"/>
    <w:rsid w:val="57F8301D"/>
    <w:rsid w:val="58085FCE"/>
    <w:rsid w:val="580B1C70"/>
    <w:rsid w:val="58130E03"/>
    <w:rsid w:val="581638F1"/>
    <w:rsid w:val="58180418"/>
    <w:rsid w:val="58186DD8"/>
    <w:rsid w:val="582B7931"/>
    <w:rsid w:val="58346311"/>
    <w:rsid w:val="5839274E"/>
    <w:rsid w:val="58396583"/>
    <w:rsid w:val="583F2364"/>
    <w:rsid w:val="584449CF"/>
    <w:rsid w:val="58446B08"/>
    <w:rsid w:val="584D4B64"/>
    <w:rsid w:val="5852109F"/>
    <w:rsid w:val="58567999"/>
    <w:rsid w:val="585A1C58"/>
    <w:rsid w:val="585B7DF3"/>
    <w:rsid w:val="58601613"/>
    <w:rsid w:val="58605F7D"/>
    <w:rsid w:val="5866229E"/>
    <w:rsid w:val="58696D74"/>
    <w:rsid w:val="58725F59"/>
    <w:rsid w:val="58776A15"/>
    <w:rsid w:val="58777031"/>
    <w:rsid w:val="58790C37"/>
    <w:rsid w:val="587D1755"/>
    <w:rsid w:val="58841BD1"/>
    <w:rsid w:val="58880674"/>
    <w:rsid w:val="58AD2DC3"/>
    <w:rsid w:val="58B84D3F"/>
    <w:rsid w:val="58C215D8"/>
    <w:rsid w:val="58C2713F"/>
    <w:rsid w:val="58C82F7C"/>
    <w:rsid w:val="58C94A33"/>
    <w:rsid w:val="58CB5B9D"/>
    <w:rsid w:val="58CD6D05"/>
    <w:rsid w:val="58D751D0"/>
    <w:rsid w:val="58DE4D56"/>
    <w:rsid w:val="58E51EA0"/>
    <w:rsid w:val="58F011AA"/>
    <w:rsid w:val="58F028BE"/>
    <w:rsid w:val="590125FA"/>
    <w:rsid w:val="590A7015"/>
    <w:rsid w:val="590B5C7A"/>
    <w:rsid w:val="59122658"/>
    <w:rsid w:val="5917517C"/>
    <w:rsid w:val="59246943"/>
    <w:rsid w:val="592D15C0"/>
    <w:rsid w:val="592E5E50"/>
    <w:rsid w:val="59300443"/>
    <w:rsid w:val="59323345"/>
    <w:rsid w:val="59354CDC"/>
    <w:rsid w:val="59354E2B"/>
    <w:rsid w:val="593613A4"/>
    <w:rsid w:val="59367161"/>
    <w:rsid w:val="594A0434"/>
    <w:rsid w:val="594F5E35"/>
    <w:rsid w:val="59500E78"/>
    <w:rsid w:val="59533297"/>
    <w:rsid w:val="595633F6"/>
    <w:rsid w:val="5956420B"/>
    <w:rsid w:val="59657C55"/>
    <w:rsid w:val="596A3A69"/>
    <w:rsid w:val="59724880"/>
    <w:rsid w:val="59726681"/>
    <w:rsid w:val="597E4C16"/>
    <w:rsid w:val="597E759B"/>
    <w:rsid w:val="597F73E2"/>
    <w:rsid w:val="598512A4"/>
    <w:rsid w:val="598A654B"/>
    <w:rsid w:val="598E28CE"/>
    <w:rsid w:val="599C5C61"/>
    <w:rsid w:val="59A160E1"/>
    <w:rsid w:val="59A32EC4"/>
    <w:rsid w:val="59A87EAF"/>
    <w:rsid w:val="59B05844"/>
    <w:rsid w:val="59B65738"/>
    <w:rsid w:val="59BC0D38"/>
    <w:rsid w:val="59BC5583"/>
    <w:rsid w:val="59C01755"/>
    <w:rsid w:val="59C51A06"/>
    <w:rsid w:val="59CB500E"/>
    <w:rsid w:val="59CD28A3"/>
    <w:rsid w:val="59CF7C13"/>
    <w:rsid w:val="59D71E65"/>
    <w:rsid w:val="59E43460"/>
    <w:rsid w:val="59E750A6"/>
    <w:rsid w:val="59E83C54"/>
    <w:rsid w:val="59F3696B"/>
    <w:rsid w:val="59F74BE7"/>
    <w:rsid w:val="59F86260"/>
    <w:rsid w:val="59FC4FF0"/>
    <w:rsid w:val="5A112FD6"/>
    <w:rsid w:val="5A1608D4"/>
    <w:rsid w:val="5A170C77"/>
    <w:rsid w:val="5A181F3D"/>
    <w:rsid w:val="5A22552F"/>
    <w:rsid w:val="5A295FB8"/>
    <w:rsid w:val="5A2F3A2C"/>
    <w:rsid w:val="5A330463"/>
    <w:rsid w:val="5A340420"/>
    <w:rsid w:val="5A345051"/>
    <w:rsid w:val="5A3B5507"/>
    <w:rsid w:val="5A3F186E"/>
    <w:rsid w:val="5A402C63"/>
    <w:rsid w:val="5A403DD2"/>
    <w:rsid w:val="5A440E19"/>
    <w:rsid w:val="5A450BA8"/>
    <w:rsid w:val="5A480B5E"/>
    <w:rsid w:val="5A4A636E"/>
    <w:rsid w:val="5A4B3205"/>
    <w:rsid w:val="5A566763"/>
    <w:rsid w:val="5A59169E"/>
    <w:rsid w:val="5A5C1AE3"/>
    <w:rsid w:val="5A5C2A7E"/>
    <w:rsid w:val="5A6A388C"/>
    <w:rsid w:val="5A6E71FC"/>
    <w:rsid w:val="5A6F1547"/>
    <w:rsid w:val="5A721DFE"/>
    <w:rsid w:val="5A764826"/>
    <w:rsid w:val="5A7674D9"/>
    <w:rsid w:val="5A782617"/>
    <w:rsid w:val="5A7B0C7B"/>
    <w:rsid w:val="5A857859"/>
    <w:rsid w:val="5A885976"/>
    <w:rsid w:val="5A8C0C9E"/>
    <w:rsid w:val="5A8E0938"/>
    <w:rsid w:val="5A8F643F"/>
    <w:rsid w:val="5A9155FA"/>
    <w:rsid w:val="5A961DC7"/>
    <w:rsid w:val="5A9941EB"/>
    <w:rsid w:val="5AA21D02"/>
    <w:rsid w:val="5AA93731"/>
    <w:rsid w:val="5AB73E9D"/>
    <w:rsid w:val="5AC649C8"/>
    <w:rsid w:val="5AC73FA5"/>
    <w:rsid w:val="5AD34C59"/>
    <w:rsid w:val="5AD62DB0"/>
    <w:rsid w:val="5AD62E0E"/>
    <w:rsid w:val="5ADB08EB"/>
    <w:rsid w:val="5ADD6610"/>
    <w:rsid w:val="5AE05CEB"/>
    <w:rsid w:val="5AE33E82"/>
    <w:rsid w:val="5AEA32D3"/>
    <w:rsid w:val="5AF059E4"/>
    <w:rsid w:val="5AF13C29"/>
    <w:rsid w:val="5AF67EA7"/>
    <w:rsid w:val="5AFC46AC"/>
    <w:rsid w:val="5B1C577E"/>
    <w:rsid w:val="5B1C6623"/>
    <w:rsid w:val="5B2153E2"/>
    <w:rsid w:val="5B2156C5"/>
    <w:rsid w:val="5B227B14"/>
    <w:rsid w:val="5B2A0C5C"/>
    <w:rsid w:val="5B2B094F"/>
    <w:rsid w:val="5B2C121D"/>
    <w:rsid w:val="5B2F2FF3"/>
    <w:rsid w:val="5B2F6160"/>
    <w:rsid w:val="5B304020"/>
    <w:rsid w:val="5B312692"/>
    <w:rsid w:val="5B3270BA"/>
    <w:rsid w:val="5B3A781E"/>
    <w:rsid w:val="5B483A58"/>
    <w:rsid w:val="5B497422"/>
    <w:rsid w:val="5B4A2E08"/>
    <w:rsid w:val="5B4B5824"/>
    <w:rsid w:val="5B4D2B9A"/>
    <w:rsid w:val="5B505A52"/>
    <w:rsid w:val="5B537612"/>
    <w:rsid w:val="5B596B7C"/>
    <w:rsid w:val="5B5A1249"/>
    <w:rsid w:val="5B621703"/>
    <w:rsid w:val="5B66160D"/>
    <w:rsid w:val="5B67109F"/>
    <w:rsid w:val="5B6B179C"/>
    <w:rsid w:val="5B6E671B"/>
    <w:rsid w:val="5B7235E1"/>
    <w:rsid w:val="5B757014"/>
    <w:rsid w:val="5B843733"/>
    <w:rsid w:val="5B901013"/>
    <w:rsid w:val="5B95786C"/>
    <w:rsid w:val="5B96324D"/>
    <w:rsid w:val="5B97182B"/>
    <w:rsid w:val="5BA17DA0"/>
    <w:rsid w:val="5BA73A2D"/>
    <w:rsid w:val="5BB17229"/>
    <w:rsid w:val="5BB33E34"/>
    <w:rsid w:val="5BBD5C3B"/>
    <w:rsid w:val="5BD27760"/>
    <w:rsid w:val="5BDA3971"/>
    <w:rsid w:val="5BE8108D"/>
    <w:rsid w:val="5BEE7940"/>
    <w:rsid w:val="5BF0320F"/>
    <w:rsid w:val="5C0D1131"/>
    <w:rsid w:val="5C10633C"/>
    <w:rsid w:val="5C143B32"/>
    <w:rsid w:val="5C163459"/>
    <w:rsid w:val="5C1D61DB"/>
    <w:rsid w:val="5C226B04"/>
    <w:rsid w:val="5C250DFD"/>
    <w:rsid w:val="5C271932"/>
    <w:rsid w:val="5C2A26DB"/>
    <w:rsid w:val="5C2B13BA"/>
    <w:rsid w:val="5C2C4EF3"/>
    <w:rsid w:val="5C4451BC"/>
    <w:rsid w:val="5C464084"/>
    <w:rsid w:val="5C471B57"/>
    <w:rsid w:val="5C4D786D"/>
    <w:rsid w:val="5C5508C7"/>
    <w:rsid w:val="5C5E1B00"/>
    <w:rsid w:val="5C60132F"/>
    <w:rsid w:val="5C70179C"/>
    <w:rsid w:val="5C70655B"/>
    <w:rsid w:val="5C72515F"/>
    <w:rsid w:val="5C736789"/>
    <w:rsid w:val="5C780DE8"/>
    <w:rsid w:val="5C7E3556"/>
    <w:rsid w:val="5C890AB9"/>
    <w:rsid w:val="5C8B0407"/>
    <w:rsid w:val="5C8B7BCA"/>
    <w:rsid w:val="5C922313"/>
    <w:rsid w:val="5C944A38"/>
    <w:rsid w:val="5C9522E6"/>
    <w:rsid w:val="5C952AF9"/>
    <w:rsid w:val="5C9B371A"/>
    <w:rsid w:val="5CA32974"/>
    <w:rsid w:val="5CA7618B"/>
    <w:rsid w:val="5CAE7C80"/>
    <w:rsid w:val="5CAF2A6A"/>
    <w:rsid w:val="5CB7483C"/>
    <w:rsid w:val="5CB748B1"/>
    <w:rsid w:val="5CB85410"/>
    <w:rsid w:val="5CBF6358"/>
    <w:rsid w:val="5CC619C4"/>
    <w:rsid w:val="5CD97E23"/>
    <w:rsid w:val="5CE0786E"/>
    <w:rsid w:val="5CEC0ACC"/>
    <w:rsid w:val="5CEE69FA"/>
    <w:rsid w:val="5CF1659C"/>
    <w:rsid w:val="5CF17357"/>
    <w:rsid w:val="5CF854C5"/>
    <w:rsid w:val="5CFE56A6"/>
    <w:rsid w:val="5D00271D"/>
    <w:rsid w:val="5D051CA0"/>
    <w:rsid w:val="5D103CD7"/>
    <w:rsid w:val="5D13394D"/>
    <w:rsid w:val="5D140370"/>
    <w:rsid w:val="5D164F73"/>
    <w:rsid w:val="5D192A7D"/>
    <w:rsid w:val="5D30684C"/>
    <w:rsid w:val="5D3469C6"/>
    <w:rsid w:val="5D387544"/>
    <w:rsid w:val="5D3E58D2"/>
    <w:rsid w:val="5D401407"/>
    <w:rsid w:val="5D4103B4"/>
    <w:rsid w:val="5D474566"/>
    <w:rsid w:val="5D4C2464"/>
    <w:rsid w:val="5D4D7964"/>
    <w:rsid w:val="5D5022CE"/>
    <w:rsid w:val="5D52177B"/>
    <w:rsid w:val="5D527E32"/>
    <w:rsid w:val="5D5509AC"/>
    <w:rsid w:val="5D567C21"/>
    <w:rsid w:val="5D5B4FF7"/>
    <w:rsid w:val="5D67595B"/>
    <w:rsid w:val="5D686C4E"/>
    <w:rsid w:val="5D6A2CC1"/>
    <w:rsid w:val="5D6D7E94"/>
    <w:rsid w:val="5D721B8D"/>
    <w:rsid w:val="5D73715E"/>
    <w:rsid w:val="5D7B54D6"/>
    <w:rsid w:val="5D897DA4"/>
    <w:rsid w:val="5D8D07B9"/>
    <w:rsid w:val="5D8D33FB"/>
    <w:rsid w:val="5D9377AA"/>
    <w:rsid w:val="5D9568DD"/>
    <w:rsid w:val="5D9B2485"/>
    <w:rsid w:val="5DA27424"/>
    <w:rsid w:val="5DAA5ECA"/>
    <w:rsid w:val="5DAC67BB"/>
    <w:rsid w:val="5DAE583F"/>
    <w:rsid w:val="5DB21FE3"/>
    <w:rsid w:val="5DB522DE"/>
    <w:rsid w:val="5DB76839"/>
    <w:rsid w:val="5DBB5D54"/>
    <w:rsid w:val="5DBE640E"/>
    <w:rsid w:val="5DC3604A"/>
    <w:rsid w:val="5DC67898"/>
    <w:rsid w:val="5DCA4256"/>
    <w:rsid w:val="5DCC0B5D"/>
    <w:rsid w:val="5DCD3861"/>
    <w:rsid w:val="5DCD7B80"/>
    <w:rsid w:val="5DD474C2"/>
    <w:rsid w:val="5DD7448D"/>
    <w:rsid w:val="5DEA53AD"/>
    <w:rsid w:val="5DEB60E5"/>
    <w:rsid w:val="5DEC3576"/>
    <w:rsid w:val="5DF208CD"/>
    <w:rsid w:val="5DF82303"/>
    <w:rsid w:val="5DF91F48"/>
    <w:rsid w:val="5DF92D23"/>
    <w:rsid w:val="5E035D7F"/>
    <w:rsid w:val="5E0C0B7D"/>
    <w:rsid w:val="5E0F2E36"/>
    <w:rsid w:val="5E103526"/>
    <w:rsid w:val="5E1E3B80"/>
    <w:rsid w:val="5E1E4FED"/>
    <w:rsid w:val="5E1F60A2"/>
    <w:rsid w:val="5E2348F3"/>
    <w:rsid w:val="5E2A77BA"/>
    <w:rsid w:val="5E322EC6"/>
    <w:rsid w:val="5E3723C5"/>
    <w:rsid w:val="5E3C0F2E"/>
    <w:rsid w:val="5E3D459D"/>
    <w:rsid w:val="5E3F18B8"/>
    <w:rsid w:val="5E4B4197"/>
    <w:rsid w:val="5E4E422F"/>
    <w:rsid w:val="5E5E3081"/>
    <w:rsid w:val="5E607C0D"/>
    <w:rsid w:val="5E6532F2"/>
    <w:rsid w:val="5E685859"/>
    <w:rsid w:val="5E6B7B88"/>
    <w:rsid w:val="5E6D68DD"/>
    <w:rsid w:val="5E6E2B6B"/>
    <w:rsid w:val="5E731FCC"/>
    <w:rsid w:val="5E75103B"/>
    <w:rsid w:val="5E76089C"/>
    <w:rsid w:val="5E851D06"/>
    <w:rsid w:val="5E891A79"/>
    <w:rsid w:val="5E8A2685"/>
    <w:rsid w:val="5E9143B1"/>
    <w:rsid w:val="5E9159E1"/>
    <w:rsid w:val="5E933537"/>
    <w:rsid w:val="5E956F3E"/>
    <w:rsid w:val="5E974C86"/>
    <w:rsid w:val="5EA90465"/>
    <w:rsid w:val="5EAA4DED"/>
    <w:rsid w:val="5EB160D2"/>
    <w:rsid w:val="5EBA60C8"/>
    <w:rsid w:val="5EC82C14"/>
    <w:rsid w:val="5ECC231D"/>
    <w:rsid w:val="5ECD40AE"/>
    <w:rsid w:val="5ED944ED"/>
    <w:rsid w:val="5EDF2428"/>
    <w:rsid w:val="5EE00E44"/>
    <w:rsid w:val="5EE61470"/>
    <w:rsid w:val="5EE85C61"/>
    <w:rsid w:val="5EE905D1"/>
    <w:rsid w:val="5EE91880"/>
    <w:rsid w:val="5EEE2A24"/>
    <w:rsid w:val="5EF876B4"/>
    <w:rsid w:val="5EFE60AD"/>
    <w:rsid w:val="5F0256E6"/>
    <w:rsid w:val="5F0579BC"/>
    <w:rsid w:val="5F092010"/>
    <w:rsid w:val="5F107638"/>
    <w:rsid w:val="5F111FA1"/>
    <w:rsid w:val="5F1D242D"/>
    <w:rsid w:val="5F1D5740"/>
    <w:rsid w:val="5F2911DF"/>
    <w:rsid w:val="5F2C020E"/>
    <w:rsid w:val="5F3A5D9F"/>
    <w:rsid w:val="5F4116FE"/>
    <w:rsid w:val="5F480C71"/>
    <w:rsid w:val="5F4D1AAA"/>
    <w:rsid w:val="5F550E1C"/>
    <w:rsid w:val="5F5723BB"/>
    <w:rsid w:val="5F5F19DC"/>
    <w:rsid w:val="5F695716"/>
    <w:rsid w:val="5F6E04DD"/>
    <w:rsid w:val="5F70435C"/>
    <w:rsid w:val="5F71022B"/>
    <w:rsid w:val="5F8E2812"/>
    <w:rsid w:val="5F8E337D"/>
    <w:rsid w:val="5F8F533C"/>
    <w:rsid w:val="5F96268C"/>
    <w:rsid w:val="5FA17ABB"/>
    <w:rsid w:val="5FAD562E"/>
    <w:rsid w:val="5FAD77F7"/>
    <w:rsid w:val="5FBA68B9"/>
    <w:rsid w:val="5FBC6579"/>
    <w:rsid w:val="5FBD3C53"/>
    <w:rsid w:val="5FC60D35"/>
    <w:rsid w:val="5FDD5B80"/>
    <w:rsid w:val="5FDE3256"/>
    <w:rsid w:val="5FEA27D3"/>
    <w:rsid w:val="5FEB2EC7"/>
    <w:rsid w:val="5FEC06A2"/>
    <w:rsid w:val="5FEC7080"/>
    <w:rsid w:val="5FF3617C"/>
    <w:rsid w:val="600D53A8"/>
    <w:rsid w:val="600E1E19"/>
    <w:rsid w:val="60194D1A"/>
    <w:rsid w:val="601B23D7"/>
    <w:rsid w:val="602002B9"/>
    <w:rsid w:val="602050DC"/>
    <w:rsid w:val="60227ABF"/>
    <w:rsid w:val="602465E0"/>
    <w:rsid w:val="60260048"/>
    <w:rsid w:val="6027658D"/>
    <w:rsid w:val="60283365"/>
    <w:rsid w:val="603A2A3D"/>
    <w:rsid w:val="604019C2"/>
    <w:rsid w:val="6043784C"/>
    <w:rsid w:val="60440DE9"/>
    <w:rsid w:val="604517EA"/>
    <w:rsid w:val="60477B23"/>
    <w:rsid w:val="604A046F"/>
    <w:rsid w:val="60506A5A"/>
    <w:rsid w:val="60530D83"/>
    <w:rsid w:val="60585DA2"/>
    <w:rsid w:val="605D50DA"/>
    <w:rsid w:val="605F3D2C"/>
    <w:rsid w:val="605F7B68"/>
    <w:rsid w:val="60632C7B"/>
    <w:rsid w:val="606B1FA7"/>
    <w:rsid w:val="606C2866"/>
    <w:rsid w:val="6072441B"/>
    <w:rsid w:val="60754380"/>
    <w:rsid w:val="60766D43"/>
    <w:rsid w:val="60854391"/>
    <w:rsid w:val="608E2401"/>
    <w:rsid w:val="608E37D2"/>
    <w:rsid w:val="60A2714F"/>
    <w:rsid w:val="60AB1E02"/>
    <w:rsid w:val="60B630AA"/>
    <w:rsid w:val="60BA39D8"/>
    <w:rsid w:val="60BC2802"/>
    <w:rsid w:val="60C30561"/>
    <w:rsid w:val="60D96585"/>
    <w:rsid w:val="60DA6DB1"/>
    <w:rsid w:val="60E6070D"/>
    <w:rsid w:val="60F33915"/>
    <w:rsid w:val="60F83D21"/>
    <w:rsid w:val="60FF4409"/>
    <w:rsid w:val="61037142"/>
    <w:rsid w:val="610F1A53"/>
    <w:rsid w:val="61131C8E"/>
    <w:rsid w:val="61164D60"/>
    <w:rsid w:val="61181D9B"/>
    <w:rsid w:val="611A4D9C"/>
    <w:rsid w:val="611B28C6"/>
    <w:rsid w:val="611C0E45"/>
    <w:rsid w:val="611F6604"/>
    <w:rsid w:val="61254DC7"/>
    <w:rsid w:val="612C2E21"/>
    <w:rsid w:val="612D5B33"/>
    <w:rsid w:val="61331CD6"/>
    <w:rsid w:val="6135560D"/>
    <w:rsid w:val="613A787E"/>
    <w:rsid w:val="613F484C"/>
    <w:rsid w:val="61415CD5"/>
    <w:rsid w:val="614D3F0B"/>
    <w:rsid w:val="614E146E"/>
    <w:rsid w:val="61501776"/>
    <w:rsid w:val="61502201"/>
    <w:rsid w:val="615B00B7"/>
    <w:rsid w:val="615C71D5"/>
    <w:rsid w:val="615F5AA4"/>
    <w:rsid w:val="6166226F"/>
    <w:rsid w:val="616C6165"/>
    <w:rsid w:val="617046EF"/>
    <w:rsid w:val="617671DD"/>
    <w:rsid w:val="61787FCB"/>
    <w:rsid w:val="61792969"/>
    <w:rsid w:val="618335E3"/>
    <w:rsid w:val="618773AE"/>
    <w:rsid w:val="618E7006"/>
    <w:rsid w:val="61952934"/>
    <w:rsid w:val="61975592"/>
    <w:rsid w:val="619B1654"/>
    <w:rsid w:val="61AA5889"/>
    <w:rsid w:val="61B600CB"/>
    <w:rsid w:val="61C301C5"/>
    <w:rsid w:val="61C6334D"/>
    <w:rsid w:val="61C91EC8"/>
    <w:rsid w:val="61CE1357"/>
    <w:rsid w:val="61CF1137"/>
    <w:rsid w:val="61D40BF6"/>
    <w:rsid w:val="61DA65AF"/>
    <w:rsid w:val="61DD097F"/>
    <w:rsid w:val="61DE7C20"/>
    <w:rsid w:val="61EA71B8"/>
    <w:rsid w:val="61EC7FF6"/>
    <w:rsid w:val="61F64090"/>
    <w:rsid w:val="61FA5877"/>
    <w:rsid w:val="61FD1E19"/>
    <w:rsid w:val="62005E55"/>
    <w:rsid w:val="62057E78"/>
    <w:rsid w:val="620B1DED"/>
    <w:rsid w:val="620F0E0F"/>
    <w:rsid w:val="621B6F78"/>
    <w:rsid w:val="621F365D"/>
    <w:rsid w:val="621F750E"/>
    <w:rsid w:val="622331C9"/>
    <w:rsid w:val="6226473A"/>
    <w:rsid w:val="62272A3E"/>
    <w:rsid w:val="622E1882"/>
    <w:rsid w:val="6230713B"/>
    <w:rsid w:val="623140A6"/>
    <w:rsid w:val="62330379"/>
    <w:rsid w:val="623854EA"/>
    <w:rsid w:val="62395000"/>
    <w:rsid w:val="623A204D"/>
    <w:rsid w:val="623A6B1A"/>
    <w:rsid w:val="623A74CD"/>
    <w:rsid w:val="623B1191"/>
    <w:rsid w:val="624B232C"/>
    <w:rsid w:val="6252583F"/>
    <w:rsid w:val="625956F5"/>
    <w:rsid w:val="625D2A9F"/>
    <w:rsid w:val="625F3926"/>
    <w:rsid w:val="625F75E6"/>
    <w:rsid w:val="626D38C1"/>
    <w:rsid w:val="626F16BF"/>
    <w:rsid w:val="626F384B"/>
    <w:rsid w:val="6276608F"/>
    <w:rsid w:val="627F0F72"/>
    <w:rsid w:val="6280079C"/>
    <w:rsid w:val="62835363"/>
    <w:rsid w:val="628C5AD2"/>
    <w:rsid w:val="628C6C19"/>
    <w:rsid w:val="628D08D0"/>
    <w:rsid w:val="628E1800"/>
    <w:rsid w:val="628F40DF"/>
    <w:rsid w:val="62912B66"/>
    <w:rsid w:val="62962D77"/>
    <w:rsid w:val="629965CE"/>
    <w:rsid w:val="629B60ED"/>
    <w:rsid w:val="62A1418C"/>
    <w:rsid w:val="62A71593"/>
    <w:rsid w:val="62B46872"/>
    <w:rsid w:val="62C149C4"/>
    <w:rsid w:val="62CD0E5E"/>
    <w:rsid w:val="62D85118"/>
    <w:rsid w:val="62D853A0"/>
    <w:rsid w:val="62DC57BA"/>
    <w:rsid w:val="62DF66D4"/>
    <w:rsid w:val="62E67758"/>
    <w:rsid w:val="62E92F0B"/>
    <w:rsid w:val="62EA400E"/>
    <w:rsid w:val="62EF2E64"/>
    <w:rsid w:val="62F300D1"/>
    <w:rsid w:val="62F329F1"/>
    <w:rsid w:val="62FC280C"/>
    <w:rsid w:val="62FD2E2F"/>
    <w:rsid w:val="62FE3802"/>
    <w:rsid w:val="63020526"/>
    <w:rsid w:val="63060E6F"/>
    <w:rsid w:val="63064E2B"/>
    <w:rsid w:val="630F5360"/>
    <w:rsid w:val="631312D1"/>
    <w:rsid w:val="63166B6D"/>
    <w:rsid w:val="631732ED"/>
    <w:rsid w:val="631E5137"/>
    <w:rsid w:val="63231FDA"/>
    <w:rsid w:val="632A10E9"/>
    <w:rsid w:val="632A5D15"/>
    <w:rsid w:val="632B6C83"/>
    <w:rsid w:val="63306C89"/>
    <w:rsid w:val="633C36ED"/>
    <w:rsid w:val="6348643A"/>
    <w:rsid w:val="634A02DD"/>
    <w:rsid w:val="634C4381"/>
    <w:rsid w:val="634E6F87"/>
    <w:rsid w:val="634F603B"/>
    <w:rsid w:val="63500433"/>
    <w:rsid w:val="63530431"/>
    <w:rsid w:val="63576852"/>
    <w:rsid w:val="635C44F0"/>
    <w:rsid w:val="635E1CBC"/>
    <w:rsid w:val="6360196C"/>
    <w:rsid w:val="6362027F"/>
    <w:rsid w:val="63661851"/>
    <w:rsid w:val="636807CF"/>
    <w:rsid w:val="63697704"/>
    <w:rsid w:val="636B1546"/>
    <w:rsid w:val="636C6ED1"/>
    <w:rsid w:val="636E6FCF"/>
    <w:rsid w:val="636F591D"/>
    <w:rsid w:val="637A666B"/>
    <w:rsid w:val="63873A9E"/>
    <w:rsid w:val="63884C99"/>
    <w:rsid w:val="63907CB0"/>
    <w:rsid w:val="6395722E"/>
    <w:rsid w:val="639E61D8"/>
    <w:rsid w:val="63A10FEF"/>
    <w:rsid w:val="63A47191"/>
    <w:rsid w:val="63AC0D2F"/>
    <w:rsid w:val="63AF6EE4"/>
    <w:rsid w:val="63B11AB8"/>
    <w:rsid w:val="63B400FC"/>
    <w:rsid w:val="63B55950"/>
    <w:rsid w:val="63B72E97"/>
    <w:rsid w:val="63BC06F6"/>
    <w:rsid w:val="63BD0357"/>
    <w:rsid w:val="63C2296D"/>
    <w:rsid w:val="63C25F01"/>
    <w:rsid w:val="63CC32F3"/>
    <w:rsid w:val="63D460C0"/>
    <w:rsid w:val="63DC621B"/>
    <w:rsid w:val="63DD02BE"/>
    <w:rsid w:val="63DF6D18"/>
    <w:rsid w:val="63ED6011"/>
    <w:rsid w:val="64025C44"/>
    <w:rsid w:val="64042343"/>
    <w:rsid w:val="64056533"/>
    <w:rsid w:val="6406249C"/>
    <w:rsid w:val="64066362"/>
    <w:rsid w:val="640C127E"/>
    <w:rsid w:val="641024B8"/>
    <w:rsid w:val="64112CFB"/>
    <w:rsid w:val="6417493F"/>
    <w:rsid w:val="64177813"/>
    <w:rsid w:val="641F493C"/>
    <w:rsid w:val="64212E8F"/>
    <w:rsid w:val="643B5EA0"/>
    <w:rsid w:val="643D61AA"/>
    <w:rsid w:val="64420C9B"/>
    <w:rsid w:val="64432A29"/>
    <w:rsid w:val="64475E46"/>
    <w:rsid w:val="64560C17"/>
    <w:rsid w:val="64565BF4"/>
    <w:rsid w:val="645751CD"/>
    <w:rsid w:val="64645688"/>
    <w:rsid w:val="6466613D"/>
    <w:rsid w:val="646A7855"/>
    <w:rsid w:val="646C6EF1"/>
    <w:rsid w:val="64723A29"/>
    <w:rsid w:val="64740508"/>
    <w:rsid w:val="647D1AF5"/>
    <w:rsid w:val="64805E45"/>
    <w:rsid w:val="64815308"/>
    <w:rsid w:val="64827E4A"/>
    <w:rsid w:val="648522EA"/>
    <w:rsid w:val="64860AE3"/>
    <w:rsid w:val="6487193C"/>
    <w:rsid w:val="648806D2"/>
    <w:rsid w:val="64895497"/>
    <w:rsid w:val="6492319F"/>
    <w:rsid w:val="6498114C"/>
    <w:rsid w:val="649A7513"/>
    <w:rsid w:val="64A415BD"/>
    <w:rsid w:val="64A729C8"/>
    <w:rsid w:val="64AA308B"/>
    <w:rsid w:val="64AA6E50"/>
    <w:rsid w:val="64AE567C"/>
    <w:rsid w:val="64B14FF9"/>
    <w:rsid w:val="64B23860"/>
    <w:rsid w:val="64B30798"/>
    <w:rsid w:val="64C277E6"/>
    <w:rsid w:val="64C539B3"/>
    <w:rsid w:val="64CB43E1"/>
    <w:rsid w:val="64D1536E"/>
    <w:rsid w:val="64DC636A"/>
    <w:rsid w:val="64E00C3B"/>
    <w:rsid w:val="64E02C49"/>
    <w:rsid w:val="64E37E30"/>
    <w:rsid w:val="64E9444A"/>
    <w:rsid w:val="64E966D1"/>
    <w:rsid w:val="64EF1005"/>
    <w:rsid w:val="64F23B68"/>
    <w:rsid w:val="64F54AF6"/>
    <w:rsid w:val="64FE6145"/>
    <w:rsid w:val="650E0174"/>
    <w:rsid w:val="651D37E7"/>
    <w:rsid w:val="65322AFA"/>
    <w:rsid w:val="65332CA6"/>
    <w:rsid w:val="6537564E"/>
    <w:rsid w:val="653C2251"/>
    <w:rsid w:val="653D2E20"/>
    <w:rsid w:val="653E26E5"/>
    <w:rsid w:val="653F2EC9"/>
    <w:rsid w:val="6542234C"/>
    <w:rsid w:val="65425129"/>
    <w:rsid w:val="654423CA"/>
    <w:rsid w:val="65447D61"/>
    <w:rsid w:val="654716C3"/>
    <w:rsid w:val="6548367A"/>
    <w:rsid w:val="654D6F98"/>
    <w:rsid w:val="654E510D"/>
    <w:rsid w:val="654F1213"/>
    <w:rsid w:val="654F73AD"/>
    <w:rsid w:val="65524070"/>
    <w:rsid w:val="65547EA5"/>
    <w:rsid w:val="65554196"/>
    <w:rsid w:val="655613BD"/>
    <w:rsid w:val="65610631"/>
    <w:rsid w:val="65644185"/>
    <w:rsid w:val="65644597"/>
    <w:rsid w:val="65683B16"/>
    <w:rsid w:val="65685850"/>
    <w:rsid w:val="65764399"/>
    <w:rsid w:val="657F1DF7"/>
    <w:rsid w:val="658451F5"/>
    <w:rsid w:val="65903BDB"/>
    <w:rsid w:val="659056FC"/>
    <w:rsid w:val="65907B34"/>
    <w:rsid w:val="65924C21"/>
    <w:rsid w:val="659303B9"/>
    <w:rsid w:val="65997650"/>
    <w:rsid w:val="659E4FFD"/>
    <w:rsid w:val="659E54AD"/>
    <w:rsid w:val="65A21D99"/>
    <w:rsid w:val="65AE130E"/>
    <w:rsid w:val="65B66920"/>
    <w:rsid w:val="65B9277A"/>
    <w:rsid w:val="65BA2D67"/>
    <w:rsid w:val="65BA7472"/>
    <w:rsid w:val="65BC778B"/>
    <w:rsid w:val="65BE0E8D"/>
    <w:rsid w:val="65C3267A"/>
    <w:rsid w:val="65C34DA6"/>
    <w:rsid w:val="65C9473C"/>
    <w:rsid w:val="65CA2F9A"/>
    <w:rsid w:val="65CF7FFA"/>
    <w:rsid w:val="65D33B0A"/>
    <w:rsid w:val="65D36262"/>
    <w:rsid w:val="65DA342F"/>
    <w:rsid w:val="65E53F64"/>
    <w:rsid w:val="65E5661A"/>
    <w:rsid w:val="65E56680"/>
    <w:rsid w:val="65EE0F7D"/>
    <w:rsid w:val="65F0493E"/>
    <w:rsid w:val="65F235A7"/>
    <w:rsid w:val="65F44E22"/>
    <w:rsid w:val="65F45FEF"/>
    <w:rsid w:val="65F70E0D"/>
    <w:rsid w:val="65F8763D"/>
    <w:rsid w:val="65FA78AE"/>
    <w:rsid w:val="65FC1B1F"/>
    <w:rsid w:val="65FF278D"/>
    <w:rsid w:val="6602515E"/>
    <w:rsid w:val="660B4B07"/>
    <w:rsid w:val="660D5C9C"/>
    <w:rsid w:val="660F3D25"/>
    <w:rsid w:val="66155D1B"/>
    <w:rsid w:val="66177A3A"/>
    <w:rsid w:val="66185276"/>
    <w:rsid w:val="661A696D"/>
    <w:rsid w:val="661F3F35"/>
    <w:rsid w:val="66222754"/>
    <w:rsid w:val="66257190"/>
    <w:rsid w:val="66264913"/>
    <w:rsid w:val="662F1993"/>
    <w:rsid w:val="6630698F"/>
    <w:rsid w:val="663646B7"/>
    <w:rsid w:val="663B4685"/>
    <w:rsid w:val="66427D3B"/>
    <w:rsid w:val="664335D6"/>
    <w:rsid w:val="66441C66"/>
    <w:rsid w:val="664A616E"/>
    <w:rsid w:val="664E1FB0"/>
    <w:rsid w:val="66523774"/>
    <w:rsid w:val="66551EDB"/>
    <w:rsid w:val="66563EA8"/>
    <w:rsid w:val="665736B2"/>
    <w:rsid w:val="665A0DEB"/>
    <w:rsid w:val="66640D42"/>
    <w:rsid w:val="66672C1C"/>
    <w:rsid w:val="66684DAD"/>
    <w:rsid w:val="66690F69"/>
    <w:rsid w:val="66785747"/>
    <w:rsid w:val="667872D9"/>
    <w:rsid w:val="667B26A5"/>
    <w:rsid w:val="66871D87"/>
    <w:rsid w:val="668821E3"/>
    <w:rsid w:val="66927616"/>
    <w:rsid w:val="669542FE"/>
    <w:rsid w:val="669A5987"/>
    <w:rsid w:val="66A05C18"/>
    <w:rsid w:val="66A67C54"/>
    <w:rsid w:val="66AB23FC"/>
    <w:rsid w:val="66AB5FF8"/>
    <w:rsid w:val="66AE6474"/>
    <w:rsid w:val="66AF73F7"/>
    <w:rsid w:val="66B44113"/>
    <w:rsid w:val="66BA0174"/>
    <w:rsid w:val="66C52C45"/>
    <w:rsid w:val="66C57BA4"/>
    <w:rsid w:val="66C90364"/>
    <w:rsid w:val="66CB7F42"/>
    <w:rsid w:val="66CC19D7"/>
    <w:rsid w:val="66D45D99"/>
    <w:rsid w:val="66D62B1B"/>
    <w:rsid w:val="66D66546"/>
    <w:rsid w:val="66D71F3D"/>
    <w:rsid w:val="66E16CA5"/>
    <w:rsid w:val="66EB4720"/>
    <w:rsid w:val="66F21B17"/>
    <w:rsid w:val="66F50DFB"/>
    <w:rsid w:val="66F54BF0"/>
    <w:rsid w:val="66F83409"/>
    <w:rsid w:val="670D7575"/>
    <w:rsid w:val="67126650"/>
    <w:rsid w:val="671354B0"/>
    <w:rsid w:val="671B3AB0"/>
    <w:rsid w:val="67291420"/>
    <w:rsid w:val="672E20E8"/>
    <w:rsid w:val="6734261A"/>
    <w:rsid w:val="674731AA"/>
    <w:rsid w:val="674D3D18"/>
    <w:rsid w:val="67504211"/>
    <w:rsid w:val="67516BC1"/>
    <w:rsid w:val="67522931"/>
    <w:rsid w:val="67535034"/>
    <w:rsid w:val="67581ADD"/>
    <w:rsid w:val="67594E87"/>
    <w:rsid w:val="675B1AD3"/>
    <w:rsid w:val="675D2DB0"/>
    <w:rsid w:val="676514E8"/>
    <w:rsid w:val="67656818"/>
    <w:rsid w:val="6769074F"/>
    <w:rsid w:val="67694983"/>
    <w:rsid w:val="67696C70"/>
    <w:rsid w:val="67766534"/>
    <w:rsid w:val="67802D10"/>
    <w:rsid w:val="67803C6B"/>
    <w:rsid w:val="67813697"/>
    <w:rsid w:val="678637E0"/>
    <w:rsid w:val="678831DE"/>
    <w:rsid w:val="678C328A"/>
    <w:rsid w:val="6793079F"/>
    <w:rsid w:val="679C3F15"/>
    <w:rsid w:val="67A20B9B"/>
    <w:rsid w:val="67AE7E62"/>
    <w:rsid w:val="67B50C23"/>
    <w:rsid w:val="67B93AFB"/>
    <w:rsid w:val="67BC28F2"/>
    <w:rsid w:val="67CB1187"/>
    <w:rsid w:val="67CD101F"/>
    <w:rsid w:val="67D474DE"/>
    <w:rsid w:val="67DC1297"/>
    <w:rsid w:val="67DC7AE1"/>
    <w:rsid w:val="67E32E3F"/>
    <w:rsid w:val="67EF07F1"/>
    <w:rsid w:val="67F111F9"/>
    <w:rsid w:val="67F41400"/>
    <w:rsid w:val="67F54AEC"/>
    <w:rsid w:val="68142065"/>
    <w:rsid w:val="68143087"/>
    <w:rsid w:val="68155485"/>
    <w:rsid w:val="68180EC2"/>
    <w:rsid w:val="68196154"/>
    <w:rsid w:val="68230798"/>
    <w:rsid w:val="68350F5D"/>
    <w:rsid w:val="683E0BFD"/>
    <w:rsid w:val="683F58D4"/>
    <w:rsid w:val="684225C0"/>
    <w:rsid w:val="68447901"/>
    <w:rsid w:val="68485B19"/>
    <w:rsid w:val="684A7CAC"/>
    <w:rsid w:val="685245AD"/>
    <w:rsid w:val="685C0E59"/>
    <w:rsid w:val="685D5B5B"/>
    <w:rsid w:val="6861008D"/>
    <w:rsid w:val="68620CE3"/>
    <w:rsid w:val="68643D43"/>
    <w:rsid w:val="686A37D5"/>
    <w:rsid w:val="686B78F9"/>
    <w:rsid w:val="686D79F2"/>
    <w:rsid w:val="6873029E"/>
    <w:rsid w:val="687B416E"/>
    <w:rsid w:val="687B61AF"/>
    <w:rsid w:val="6880451E"/>
    <w:rsid w:val="68836478"/>
    <w:rsid w:val="68841750"/>
    <w:rsid w:val="68884EDC"/>
    <w:rsid w:val="688A1ADB"/>
    <w:rsid w:val="688C63E0"/>
    <w:rsid w:val="68926BF8"/>
    <w:rsid w:val="689529A2"/>
    <w:rsid w:val="6897010E"/>
    <w:rsid w:val="689D7FD6"/>
    <w:rsid w:val="68B1489A"/>
    <w:rsid w:val="68B534DC"/>
    <w:rsid w:val="68B6047C"/>
    <w:rsid w:val="68B72439"/>
    <w:rsid w:val="68C1307D"/>
    <w:rsid w:val="68C40232"/>
    <w:rsid w:val="68C404BC"/>
    <w:rsid w:val="68C41E76"/>
    <w:rsid w:val="68CA3B66"/>
    <w:rsid w:val="68CF255F"/>
    <w:rsid w:val="68D14C73"/>
    <w:rsid w:val="68D2600C"/>
    <w:rsid w:val="68D35E43"/>
    <w:rsid w:val="68D93102"/>
    <w:rsid w:val="68DD140B"/>
    <w:rsid w:val="68E24BCE"/>
    <w:rsid w:val="68E26179"/>
    <w:rsid w:val="68E424ED"/>
    <w:rsid w:val="68E65176"/>
    <w:rsid w:val="68E7016D"/>
    <w:rsid w:val="68E74109"/>
    <w:rsid w:val="68E943DE"/>
    <w:rsid w:val="68E9617E"/>
    <w:rsid w:val="68EB5163"/>
    <w:rsid w:val="68EF743D"/>
    <w:rsid w:val="68F16DF1"/>
    <w:rsid w:val="68F41AFE"/>
    <w:rsid w:val="68F94B5A"/>
    <w:rsid w:val="68F9781C"/>
    <w:rsid w:val="68FE6038"/>
    <w:rsid w:val="69012142"/>
    <w:rsid w:val="690518AC"/>
    <w:rsid w:val="690C164F"/>
    <w:rsid w:val="690E7433"/>
    <w:rsid w:val="69123A1C"/>
    <w:rsid w:val="691329E8"/>
    <w:rsid w:val="69172BFA"/>
    <w:rsid w:val="69176A41"/>
    <w:rsid w:val="691E5086"/>
    <w:rsid w:val="691F30CE"/>
    <w:rsid w:val="69212D78"/>
    <w:rsid w:val="69234D10"/>
    <w:rsid w:val="69240FD4"/>
    <w:rsid w:val="69264CBC"/>
    <w:rsid w:val="69277C96"/>
    <w:rsid w:val="69306200"/>
    <w:rsid w:val="69322F07"/>
    <w:rsid w:val="69366E02"/>
    <w:rsid w:val="693F28A9"/>
    <w:rsid w:val="69413925"/>
    <w:rsid w:val="694E3578"/>
    <w:rsid w:val="69504096"/>
    <w:rsid w:val="69630EA0"/>
    <w:rsid w:val="696744DD"/>
    <w:rsid w:val="697A5494"/>
    <w:rsid w:val="697E26E2"/>
    <w:rsid w:val="6988784D"/>
    <w:rsid w:val="698B7A57"/>
    <w:rsid w:val="699476FB"/>
    <w:rsid w:val="69993A3A"/>
    <w:rsid w:val="699E0168"/>
    <w:rsid w:val="699E0BDC"/>
    <w:rsid w:val="69A2254F"/>
    <w:rsid w:val="69B01F8E"/>
    <w:rsid w:val="69B0342B"/>
    <w:rsid w:val="69B07FD8"/>
    <w:rsid w:val="69B505B6"/>
    <w:rsid w:val="69B665C6"/>
    <w:rsid w:val="69BB7862"/>
    <w:rsid w:val="69C0244F"/>
    <w:rsid w:val="69C14B06"/>
    <w:rsid w:val="69C41418"/>
    <w:rsid w:val="69C55828"/>
    <w:rsid w:val="69C823E7"/>
    <w:rsid w:val="69CA578E"/>
    <w:rsid w:val="69CD0FF3"/>
    <w:rsid w:val="69D05E0C"/>
    <w:rsid w:val="69D06196"/>
    <w:rsid w:val="69D64C7E"/>
    <w:rsid w:val="69E103BD"/>
    <w:rsid w:val="69E339ED"/>
    <w:rsid w:val="69EE4B8B"/>
    <w:rsid w:val="69F11219"/>
    <w:rsid w:val="69F26821"/>
    <w:rsid w:val="69F47C69"/>
    <w:rsid w:val="69F52BD7"/>
    <w:rsid w:val="69F708DC"/>
    <w:rsid w:val="69F8389C"/>
    <w:rsid w:val="69FA49C8"/>
    <w:rsid w:val="69FC6D8D"/>
    <w:rsid w:val="6A0007BD"/>
    <w:rsid w:val="6A000E72"/>
    <w:rsid w:val="6A005D54"/>
    <w:rsid w:val="6A0132A5"/>
    <w:rsid w:val="6A053D34"/>
    <w:rsid w:val="6A073A71"/>
    <w:rsid w:val="6A0A1FD3"/>
    <w:rsid w:val="6A0B2A9A"/>
    <w:rsid w:val="6A0E0B9F"/>
    <w:rsid w:val="6A1560B2"/>
    <w:rsid w:val="6A16274D"/>
    <w:rsid w:val="6A2850D6"/>
    <w:rsid w:val="6A2D02DA"/>
    <w:rsid w:val="6A2F6B91"/>
    <w:rsid w:val="6A3A5CF4"/>
    <w:rsid w:val="6A3B3F04"/>
    <w:rsid w:val="6A3E6AA8"/>
    <w:rsid w:val="6A47747C"/>
    <w:rsid w:val="6A484905"/>
    <w:rsid w:val="6A4C5B98"/>
    <w:rsid w:val="6A55500D"/>
    <w:rsid w:val="6A667FC4"/>
    <w:rsid w:val="6A673B3F"/>
    <w:rsid w:val="6A684189"/>
    <w:rsid w:val="6A6842E9"/>
    <w:rsid w:val="6A6B075D"/>
    <w:rsid w:val="6A702F72"/>
    <w:rsid w:val="6A707AF7"/>
    <w:rsid w:val="6A75359C"/>
    <w:rsid w:val="6A7663BC"/>
    <w:rsid w:val="6A7D0ED5"/>
    <w:rsid w:val="6A7D3228"/>
    <w:rsid w:val="6A8058AF"/>
    <w:rsid w:val="6A8937AC"/>
    <w:rsid w:val="6A8E03BF"/>
    <w:rsid w:val="6A930535"/>
    <w:rsid w:val="6A942F32"/>
    <w:rsid w:val="6A9A0E53"/>
    <w:rsid w:val="6AA626C5"/>
    <w:rsid w:val="6AA713E5"/>
    <w:rsid w:val="6AA76E59"/>
    <w:rsid w:val="6AAD253E"/>
    <w:rsid w:val="6AB3439F"/>
    <w:rsid w:val="6AB465B3"/>
    <w:rsid w:val="6AB6247D"/>
    <w:rsid w:val="6ABA0D89"/>
    <w:rsid w:val="6ABA11FE"/>
    <w:rsid w:val="6ACB0BD2"/>
    <w:rsid w:val="6ACC6C89"/>
    <w:rsid w:val="6AD4185B"/>
    <w:rsid w:val="6ADE781A"/>
    <w:rsid w:val="6AE17E12"/>
    <w:rsid w:val="6AE61B18"/>
    <w:rsid w:val="6AEE1F64"/>
    <w:rsid w:val="6AF201AE"/>
    <w:rsid w:val="6AFB6C61"/>
    <w:rsid w:val="6AFE3473"/>
    <w:rsid w:val="6AFE5BFF"/>
    <w:rsid w:val="6B061B4B"/>
    <w:rsid w:val="6B090D6B"/>
    <w:rsid w:val="6B0C5698"/>
    <w:rsid w:val="6B0D229C"/>
    <w:rsid w:val="6B0F042B"/>
    <w:rsid w:val="6B0F1467"/>
    <w:rsid w:val="6B2375D7"/>
    <w:rsid w:val="6B267829"/>
    <w:rsid w:val="6B2B562F"/>
    <w:rsid w:val="6B2E3218"/>
    <w:rsid w:val="6B2F34AF"/>
    <w:rsid w:val="6B302CD3"/>
    <w:rsid w:val="6B3614E1"/>
    <w:rsid w:val="6B376E85"/>
    <w:rsid w:val="6B3F13F2"/>
    <w:rsid w:val="6B400039"/>
    <w:rsid w:val="6B492DE3"/>
    <w:rsid w:val="6B4976D8"/>
    <w:rsid w:val="6B4A6B78"/>
    <w:rsid w:val="6B5520A4"/>
    <w:rsid w:val="6B557642"/>
    <w:rsid w:val="6B5647A4"/>
    <w:rsid w:val="6B5706AA"/>
    <w:rsid w:val="6B57410D"/>
    <w:rsid w:val="6B5C5EC0"/>
    <w:rsid w:val="6B6A5A7E"/>
    <w:rsid w:val="6B745A1C"/>
    <w:rsid w:val="6B7B1AB7"/>
    <w:rsid w:val="6B7B613F"/>
    <w:rsid w:val="6B7E793B"/>
    <w:rsid w:val="6B820095"/>
    <w:rsid w:val="6B8960D0"/>
    <w:rsid w:val="6B9F4738"/>
    <w:rsid w:val="6BA00888"/>
    <w:rsid w:val="6BB00A99"/>
    <w:rsid w:val="6BB44847"/>
    <w:rsid w:val="6BCB63A3"/>
    <w:rsid w:val="6BD17CDB"/>
    <w:rsid w:val="6BD2642C"/>
    <w:rsid w:val="6BD26C96"/>
    <w:rsid w:val="6BD4483F"/>
    <w:rsid w:val="6BD514C0"/>
    <w:rsid w:val="6BEB3D49"/>
    <w:rsid w:val="6BF11754"/>
    <w:rsid w:val="6C0839E4"/>
    <w:rsid w:val="6C12106A"/>
    <w:rsid w:val="6C2059E7"/>
    <w:rsid w:val="6C3356DF"/>
    <w:rsid w:val="6C351457"/>
    <w:rsid w:val="6C4320B0"/>
    <w:rsid w:val="6C452B48"/>
    <w:rsid w:val="6C4B3FF9"/>
    <w:rsid w:val="6C4E108F"/>
    <w:rsid w:val="6C4F05B3"/>
    <w:rsid w:val="6C582DFF"/>
    <w:rsid w:val="6C5A518C"/>
    <w:rsid w:val="6C5B22A2"/>
    <w:rsid w:val="6C5C0A2F"/>
    <w:rsid w:val="6C5F5419"/>
    <w:rsid w:val="6C6470FA"/>
    <w:rsid w:val="6C675672"/>
    <w:rsid w:val="6C6F505C"/>
    <w:rsid w:val="6C731AA4"/>
    <w:rsid w:val="6C744183"/>
    <w:rsid w:val="6C7C54C5"/>
    <w:rsid w:val="6C7E17DC"/>
    <w:rsid w:val="6C807B3D"/>
    <w:rsid w:val="6C8408F0"/>
    <w:rsid w:val="6C872F03"/>
    <w:rsid w:val="6C881C88"/>
    <w:rsid w:val="6C895005"/>
    <w:rsid w:val="6C8C7096"/>
    <w:rsid w:val="6C931B7D"/>
    <w:rsid w:val="6CA3602E"/>
    <w:rsid w:val="6CA92812"/>
    <w:rsid w:val="6CAC5DA8"/>
    <w:rsid w:val="6CAF53F3"/>
    <w:rsid w:val="6CB1368B"/>
    <w:rsid w:val="6CB17801"/>
    <w:rsid w:val="6CBC38EF"/>
    <w:rsid w:val="6CBE3E7B"/>
    <w:rsid w:val="6CC876C7"/>
    <w:rsid w:val="6CCD3B49"/>
    <w:rsid w:val="6CD34265"/>
    <w:rsid w:val="6CD37F62"/>
    <w:rsid w:val="6CE672DC"/>
    <w:rsid w:val="6CE90B1E"/>
    <w:rsid w:val="6CEA68F0"/>
    <w:rsid w:val="6CEE740C"/>
    <w:rsid w:val="6CF8015A"/>
    <w:rsid w:val="6CF81E1E"/>
    <w:rsid w:val="6CF932A1"/>
    <w:rsid w:val="6CFE2100"/>
    <w:rsid w:val="6D030DFD"/>
    <w:rsid w:val="6D0410D0"/>
    <w:rsid w:val="6D043B7F"/>
    <w:rsid w:val="6D050E25"/>
    <w:rsid w:val="6D053AE3"/>
    <w:rsid w:val="6D1235C8"/>
    <w:rsid w:val="6D130E43"/>
    <w:rsid w:val="6D166DBA"/>
    <w:rsid w:val="6D1946BC"/>
    <w:rsid w:val="6D1D42AF"/>
    <w:rsid w:val="6D232988"/>
    <w:rsid w:val="6D247ECE"/>
    <w:rsid w:val="6D282222"/>
    <w:rsid w:val="6D2F347A"/>
    <w:rsid w:val="6D32765A"/>
    <w:rsid w:val="6D376D7C"/>
    <w:rsid w:val="6D3812B0"/>
    <w:rsid w:val="6D3A01DF"/>
    <w:rsid w:val="6D3A6753"/>
    <w:rsid w:val="6D3C31D0"/>
    <w:rsid w:val="6D3C5A46"/>
    <w:rsid w:val="6D4D5927"/>
    <w:rsid w:val="6D5204CA"/>
    <w:rsid w:val="6D530EEC"/>
    <w:rsid w:val="6D541413"/>
    <w:rsid w:val="6D585F1A"/>
    <w:rsid w:val="6D6423B8"/>
    <w:rsid w:val="6D654DD8"/>
    <w:rsid w:val="6D674653"/>
    <w:rsid w:val="6D682DE5"/>
    <w:rsid w:val="6D6F2668"/>
    <w:rsid w:val="6D7F0EBE"/>
    <w:rsid w:val="6D88111A"/>
    <w:rsid w:val="6D8C0021"/>
    <w:rsid w:val="6D8F2909"/>
    <w:rsid w:val="6D9657D1"/>
    <w:rsid w:val="6D9A3715"/>
    <w:rsid w:val="6DA11FC3"/>
    <w:rsid w:val="6DAF0B9C"/>
    <w:rsid w:val="6DB02003"/>
    <w:rsid w:val="6DC811B8"/>
    <w:rsid w:val="6DC90175"/>
    <w:rsid w:val="6DD168EF"/>
    <w:rsid w:val="6DD418D5"/>
    <w:rsid w:val="6DD5738B"/>
    <w:rsid w:val="6DD65B45"/>
    <w:rsid w:val="6DDC0B41"/>
    <w:rsid w:val="6DDE68D5"/>
    <w:rsid w:val="6DEE23A6"/>
    <w:rsid w:val="6DF27141"/>
    <w:rsid w:val="6DF33B92"/>
    <w:rsid w:val="6DF60A6C"/>
    <w:rsid w:val="6DFA166D"/>
    <w:rsid w:val="6DFA5761"/>
    <w:rsid w:val="6DFC3630"/>
    <w:rsid w:val="6DFD1E32"/>
    <w:rsid w:val="6E054FD7"/>
    <w:rsid w:val="6E0776C6"/>
    <w:rsid w:val="6E0B43FC"/>
    <w:rsid w:val="6E0D7445"/>
    <w:rsid w:val="6E0E5456"/>
    <w:rsid w:val="6E1B5484"/>
    <w:rsid w:val="6E227BB9"/>
    <w:rsid w:val="6E284EC1"/>
    <w:rsid w:val="6E2B4514"/>
    <w:rsid w:val="6E2E1954"/>
    <w:rsid w:val="6E2E568F"/>
    <w:rsid w:val="6E3B7100"/>
    <w:rsid w:val="6E3E08B7"/>
    <w:rsid w:val="6E486E24"/>
    <w:rsid w:val="6E66710A"/>
    <w:rsid w:val="6E684B71"/>
    <w:rsid w:val="6E6B3EAB"/>
    <w:rsid w:val="6E6D48C2"/>
    <w:rsid w:val="6E6E675C"/>
    <w:rsid w:val="6E6F0E2E"/>
    <w:rsid w:val="6E71242C"/>
    <w:rsid w:val="6E772FD4"/>
    <w:rsid w:val="6E8C328C"/>
    <w:rsid w:val="6E9631EF"/>
    <w:rsid w:val="6E9E068D"/>
    <w:rsid w:val="6E9F7982"/>
    <w:rsid w:val="6EB335B7"/>
    <w:rsid w:val="6EB8148C"/>
    <w:rsid w:val="6EC4250C"/>
    <w:rsid w:val="6EC4449D"/>
    <w:rsid w:val="6EDD3782"/>
    <w:rsid w:val="6EE13A2C"/>
    <w:rsid w:val="6EE4112D"/>
    <w:rsid w:val="6EE47502"/>
    <w:rsid w:val="6EE60650"/>
    <w:rsid w:val="6EEB05B6"/>
    <w:rsid w:val="6EED1C49"/>
    <w:rsid w:val="6EF264F6"/>
    <w:rsid w:val="6EF5688A"/>
    <w:rsid w:val="6EF71F1E"/>
    <w:rsid w:val="6EF81DAC"/>
    <w:rsid w:val="6F0114B0"/>
    <w:rsid w:val="6F0B111F"/>
    <w:rsid w:val="6F0C3399"/>
    <w:rsid w:val="6F2A65E8"/>
    <w:rsid w:val="6F2B2158"/>
    <w:rsid w:val="6F31439E"/>
    <w:rsid w:val="6F32625D"/>
    <w:rsid w:val="6F334C0F"/>
    <w:rsid w:val="6F337C37"/>
    <w:rsid w:val="6F345B7B"/>
    <w:rsid w:val="6F390D41"/>
    <w:rsid w:val="6F486EF6"/>
    <w:rsid w:val="6F513858"/>
    <w:rsid w:val="6F5B236E"/>
    <w:rsid w:val="6F5D756E"/>
    <w:rsid w:val="6F62608E"/>
    <w:rsid w:val="6F676A22"/>
    <w:rsid w:val="6F6B7337"/>
    <w:rsid w:val="6F6D74F9"/>
    <w:rsid w:val="6F71465B"/>
    <w:rsid w:val="6F7172F6"/>
    <w:rsid w:val="6F72513F"/>
    <w:rsid w:val="6F74464B"/>
    <w:rsid w:val="6F7553F0"/>
    <w:rsid w:val="6F7C22AE"/>
    <w:rsid w:val="6F7D3709"/>
    <w:rsid w:val="6F81545A"/>
    <w:rsid w:val="6F8442E1"/>
    <w:rsid w:val="6F8605A9"/>
    <w:rsid w:val="6F897BC9"/>
    <w:rsid w:val="6F8B0311"/>
    <w:rsid w:val="6F8C659F"/>
    <w:rsid w:val="6F8D6526"/>
    <w:rsid w:val="6F8D6A7B"/>
    <w:rsid w:val="6F926507"/>
    <w:rsid w:val="6F945F06"/>
    <w:rsid w:val="6F9A79CA"/>
    <w:rsid w:val="6FA95732"/>
    <w:rsid w:val="6FAF0140"/>
    <w:rsid w:val="6FB067DC"/>
    <w:rsid w:val="6FBB7B90"/>
    <w:rsid w:val="6FBD7970"/>
    <w:rsid w:val="6FBE62B7"/>
    <w:rsid w:val="6FC0701F"/>
    <w:rsid w:val="6FC60349"/>
    <w:rsid w:val="6FCF3B89"/>
    <w:rsid w:val="6FD25F28"/>
    <w:rsid w:val="6FD3485F"/>
    <w:rsid w:val="6FDF37B5"/>
    <w:rsid w:val="6FE25EB0"/>
    <w:rsid w:val="6FE84F38"/>
    <w:rsid w:val="6FEC64D8"/>
    <w:rsid w:val="6FEE045D"/>
    <w:rsid w:val="6FF36A6C"/>
    <w:rsid w:val="6FF46E42"/>
    <w:rsid w:val="6FF56750"/>
    <w:rsid w:val="6FF64E3C"/>
    <w:rsid w:val="6FF65FD9"/>
    <w:rsid w:val="6FFA0362"/>
    <w:rsid w:val="6FFA7592"/>
    <w:rsid w:val="6FFF7AA0"/>
    <w:rsid w:val="700041AC"/>
    <w:rsid w:val="70022E2A"/>
    <w:rsid w:val="7002719B"/>
    <w:rsid w:val="700827E2"/>
    <w:rsid w:val="700D5EBC"/>
    <w:rsid w:val="70101784"/>
    <w:rsid w:val="70160F25"/>
    <w:rsid w:val="70184685"/>
    <w:rsid w:val="7024027D"/>
    <w:rsid w:val="702B4E33"/>
    <w:rsid w:val="703656D4"/>
    <w:rsid w:val="70397B2E"/>
    <w:rsid w:val="703F0A9A"/>
    <w:rsid w:val="70411533"/>
    <w:rsid w:val="7042045A"/>
    <w:rsid w:val="70470DC1"/>
    <w:rsid w:val="704C2109"/>
    <w:rsid w:val="705B3483"/>
    <w:rsid w:val="70623594"/>
    <w:rsid w:val="7063735F"/>
    <w:rsid w:val="706743D9"/>
    <w:rsid w:val="70740597"/>
    <w:rsid w:val="707C5635"/>
    <w:rsid w:val="707F202E"/>
    <w:rsid w:val="70806A66"/>
    <w:rsid w:val="70836F86"/>
    <w:rsid w:val="7085266C"/>
    <w:rsid w:val="708800BC"/>
    <w:rsid w:val="70887FD3"/>
    <w:rsid w:val="70936C5A"/>
    <w:rsid w:val="70A24A62"/>
    <w:rsid w:val="70A26917"/>
    <w:rsid w:val="70A30B81"/>
    <w:rsid w:val="70A83E6A"/>
    <w:rsid w:val="70AC5EA1"/>
    <w:rsid w:val="70BF1716"/>
    <w:rsid w:val="70C46C82"/>
    <w:rsid w:val="70CD612D"/>
    <w:rsid w:val="70CF32C5"/>
    <w:rsid w:val="70D133BB"/>
    <w:rsid w:val="70D94649"/>
    <w:rsid w:val="70DA7577"/>
    <w:rsid w:val="70E410B5"/>
    <w:rsid w:val="70E915D7"/>
    <w:rsid w:val="70EC0D8E"/>
    <w:rsid w:val="70F327E6"/>
    <w:rsid w:val="70F43883"/>
    <w:rsid w:val="70F619D9"/>
    <w:rsid w:val="70FF6CF2"/>
    <w:rsid w:val="71043640"/>
    <w:rsid w:val="711275A9"/>
    <w:rsid w:val="71164A7B"/>
    <w:rsid w:val="712C6702"/>
    <w:rsid w:val="71305B2D"/>
    <w:rsid w:val="71305FC0"/>
    <w:rsid w:val="713F2F7E"/>
    <w:rsid w:val="714E20F3"/>
    <w:rsid w:val="71546B83"/>
    <w:rsid w:val="71582A88"/>
    <w:rsid w:val="715A289B"/>
    <w:rsid w:val="715D3EF2"/>
    <w:rsid w:val="715E73FA"/>
    <w:rsid w:val="715F75A1"/>
    <w:rsid w:val="71617EC1"/>
    <w:rsid w:val="716F220D"/>
    <w:rsid w:val="71782628"/>
    <w:rsid w:val="717C6C89"/>
    <w:rsid w:val="718859B4"/>
    <w:rsid w:val="71895F1B"/>
    <w:rsid w:val="718C645F"/>
    <w:rsid w:val="718D50EB"/>
    <w:rsid w:val="718E4939"/>
    <w:rsid w:val="718F325C"/>
    <w:rsid w:val="718F496F"/>
    <w:rsid w:val="7191781E"/>
    <w:rsid w:val="71AE7F94"/>
    <w:rsid w:val="71AF14E5"/>
    <w:rsid w:val="71B33913"/>
    <w:rsid w:val="71BB7A25"/>
    <w:rsid w:val="71C24D70"/>
    <w:rsid w:val="71CC396D"/>
    <w:rsid w:val="71CE5D8A"/>
    <w:rsid w:val="71DB6BBF"/>
    <w:rsid w:val="71E30292"/>
    <w:rsid w:val="71EC4964"/>
    <w:rsid w:val="71FF0908"/>
    <w:rsid w:val="72012B78"/>
    <w:rsid w:val="72045154"/>
    <w:rsid w:val="7205431C"/>
    <w:rsid w:val="720C3322"/>
    <w:rsid w:val="720D53C8"/>
    <w:rsid w:val="720F66A6"/>
    <w:rsid w:val="72107517"/>
    <w:rsid w:val="721A441C"/>
    <w:rsid w:val="722456FD"/>
    <w:rsid w:val="7224773C"/>
    <w:rsid w:val="72282277"/>
    <w:rsid w:val="72283084"/>
    <w:rsid w:val="722C6EBF"/>
    <w:rsid w:val="723362F1"/>
    <w:rsid w:val="72352312"/>
    <w:rsid w:val="723524C3"/>
    <w:rsid w:val="723A2DA3"/>
    <w:rsid w:val="723F444E"/>
    <w:rsid w:val="72424441"/>
    <w:rsid w:val="72444024"/>
    <w:rsid w:val="72470DA6"/>
    <w:rsid w:val="724845D9"/>
    <w:rsid w:val="72534782"/>
    <w:rsid w:val="72577D49"/>
    <w:rsid w:val="725D7BD5"/>
    <w:rsid w:val="72681C61"/>
    <w:rsid w:val="726F5B63"/>
    <w:rsid w:val="72773778"/>
    <w:rsid w:val="727927E0"/>
    <w:rsid w:val="728030A2"/>
    <w:rsid w:val="72830CD3"/>
    <w:rsid w:val="728A2105"/>
    <w:rsid w:val="72933DB8"/>
    <w:rsid w:val="729914AB"/>
    <w:rsid w:val="729959BE"/>
    <w:rsid w:val="72A24B35"/>
    <w:rsid w:val="72AB5DC1"/>
    <w:rsid w:val="72AD3E1A"/>
    <w:rsid w:val="72AE1EE2"/>
    <w:rsid w:val="72B10005"/>
    <w:rsid w:val="72B65D6B"/>
    <w:rsid w:val="72C2657F"/>
    <w:rsid w:val="72C30D4B"/>
    <w:rsid w:val="72C91F75"/>
    <w:rsid w:val="72CE3EF8"/>
    <w:rsid w:val="72D358E1"/>
    <w:rsid w:val="72D63CC9"/>
    <w:rsid w:val="72D72226"/>
    <w:rsid w:val="72DC276D"/>
    <w:rsid w:val="72E20AF1"/>
    <w:rsid w:val="72E57FFA"/>
    <w:rsid w:val="72F17189"/>
    <w:rsid w:val="72F61EAD"/>
    <w:rsid w:val="72F71719"/>
    <w:rsid w:val="730D11F4"/>
    <w:rsid w:val="73165630"/>
    <w:rsid w:val="731A03DB"/>
    <w:rsid w:val="73212A50"/>
    <w:rsid w:val="73216FED"/>
    <w:rsid w:val="732750C8"/>
    <w:rsid w:val="73282EE7"/>
    <w:rsid w:val="732B65E7"/>
    <w:rsid w:val="732B6FDC"/>
    <w:rsid w:val="732F45BC"/>
    <w:rsid w:val="73333D57"/>
    <w:rsid w:val="733D51BE"/>
    <w:rsid w:val="734835B5"/>
    <w:rsid w:val="73496FAA"/>
    <w:rsid w:val="734C4983"/>
    <w:rsid w:val="734F03A7"/>
    <w:rsid w:val="73533FE4"/>
    <w:rsid w:val="73543FAA"/>
    <w:rsid w:val="73595A94"/>
    <w:rsid w:val="735C2FA3"/>
    <w:rsid w:val="735F4022"/>
    <w:rsid w:val="73605445"/>
    <w:rsid w:val="736C1266"/>
    <w:rsid w:val="736C45DB"/>
    <w:rsid w:val="736F7ACF"/>
    <w:rsid w:val="73700274"/>
    <w:rsid w:val="737256B2"/>
    <w:rsid w:val="73760F4D"/>
    <w:rsid w:val="737B3EC4"/>
    <w:rsid w:val="737D50F4"/>
    <w:rsid w:val="737F0F2B"/>
    <w:rsid w:val="738176BA"/>
    <w:rsid w:val="738968E2"/>
    <w:rsid w:val="73917F52"/>
    <w:rsid w:val="739E77A1"/>
    <w:rsid w:val="73A2316D"/>
    <w:rsid w:val="73A23634"/>
    <w:rsid w:val="73A81B4C"/>
    <w:rsid w:val="73AE3AFA"/>
    <w:rsid w:val="73AF403E"/>
    <w:rsid w:val="73B03217"/>
    <w:rsid w:val="73B8332F"/>
    <w:rsid w:val="73BA42D5"/>
    <w:rsid w:val="73BD259A"/>
    <w:rsid w:val="73C76660"/>
    <w:rsid w:val="73D003A1"/>
    <w:rsid w:val="73D5396C"/>
    <w:rsid w:val="73D978F0"/>
    <w:rsid w:val="73E00FAF"/>
    <w:rsid w:val="73E05361"/>
    <w:rsid w:val="73E57E96"/>
    <w:rsid w:val="73E9425E"/>
    <w:rsid w:val="73EE5929"/>
    <w:rsid w:val="73F700A2"/>
    <w:rsid w:val="73F91525"/>
    <w:rsid w:val="73FA5191"/>
    <w:rsid w:val="73FF7E7E"/>
    <w:rsid w:val="74011169"/>
    <w:rsid w:val="74025836"/>
    <w:rsid w:val="7403268E"/>
    <w:rsid w:val="74065999"/>
    <w:rsid w:val="74085D5F"/>
    <w:rsid w:val="74093FD8"/>
    <w:rsid w:val="740A2E6B"/>
    <w:rsid w:val="7410310F"/>
    <w:rsid w:val="74112594"/>
    <w:rsid w:val="74182890"/>
    <w:rsid w:val="741E5685"/>
    <w:rsid w:val="74232811"/>
    <w:rsid w:val="74264326"/>
    <w:rsid w:val="74302016"/>
    <w:rsid w:val="74310502"/>
    <w:rsid w:val="743B7EC6"/>
    <w:rsid w:val="743C0EA2"/>
    <w:rsid w:val="744029A5"/>
    <w:rsid w:val="74456222"/>
    <w:rsid w:val="74476C35"/>
    <w:rsid w:val="7448253C"/>
    <w:rsid w:val="744A3503"/>
    <w:rsid w:val="74575AF9"/>
    <w:rsid w:val="745869AA"/>
    <w:rsid w:val="746200E9"/>
    <w:rsid w:val="746841CF"/>
    <w:rsid w:val="74693072"/>
    <w:rsid w:val="74701069"/>
    <w:rsid w:val="747C1167"/>
    <w:rsid w:val="74823DC4"/>
    <w:rsid w:val="74901C17"/>
    <w:rsid w:val="749632DA"/>
    <w:rsid w:val="749701F3"/>
    <w:rsid w:val="74A12CE6"/>
    <w:rsid w:val="74AC36C9"/>
    <w:rsid w:val="74B8720C"/>
    <w:rsid w:val="74B91E83"/>
    <w:rsid w:val="74B95779"/>
    <w:rsid w:val="74BD1D39"/>
    <w:rsid w:val="74BD270C"/>
    <w:rsid w:val="74C26852"/>
    <w:rsid w:val="74C60C1D"/>
    <w:rsid w:val="74CC687E"/>
    <w:rsid w:val="74D55136"/>
    <w:rsid w:val="74D63504"/>
    <w:rsid w:val="74D87C74"/>
    <w:rsid w:val="74DA2FD1"/>
    <w:rsid w:val="74DB1529"/>
    <w:rsid w:val="74FA050E"/>
    <w:rsid w:val="74FB7177"/>
    <w:rsid w:val="750244DD"/>
    <w:rsid w:val="7504647B"/>
    <w:rsid w:val="750906F5"/>
    <w:rsid w:val="750A6109"/>
    <w:rsid w:val="750B505D"/>
    <w:rsid w:val="750C0B4A"/>
    <w:rsid w:val="750E63C6"/>
    <w:rsid w:val="75187FC4"/>
    <w:rsid w:val="75207408"/>
    <w:rsid w:val="752716B4"/>
    <w:rsid w:val="7528565C"/>
    <w:rsid w:val="75287F0C"/>
    <w:rsid w:val="752B5493"/>
    <w:rsid w:val="753C5AF9"/>
    <w:rsid w:val="753E066F"/>
    <w:rsid w:val="75416976"/>
    <w:rsid w:val="75425686"/>
    <w:rsid w:val="7548554A"/>
    <w:rsid w:val="754C789F"/>
    <w:rsid w:val="7554052D"/>
    <w:rsid w:val="755464D5"/>
    <w:rsid w:val="7561260C"/>
    <w:rsid w:val="7569018B"/>
    <w:rsid w:val="756B5A33"/>
    <w:rsid w:val="75701560"/>
    <w:rsid w:val="757D7F2E"/>
    <w:rsid w:val="758227BF"/>
    <w:rsid w:val="75834892"/>
    <w:rsid w:val="75960285"/>
    <w:rsid w:val="759A45C7"/>
    <w:rsid w:val="759D6CFC"/>
    <w:rsid w:val="75A06031"/>
    <w:rsid w:val="75A226A5"/>
    <w:rsid w:val="75A61AF4"/>
    <w:rsid w:val="75A65685"/>
    <w:rsid w:val="75B00187"/>
    <w:rsid w:val="75BB1603"/>
    <w:rsid w:val="75BD43ED"/>
    <w:rsid w:val="75BF2DFC"/>
    <w:rsid w:val="75CD0B08"/>
    <w:rsid w:val="75D45BE7"/>
    <w:rsid w:val="75DA21C5"/>
    <w:rsid w:val="75DB000F"/>
    <w:rsid w:val="75E6541A"/>
    <w:rsid w:val="75EF5EB9"/>
    <w:rsid w:val="75EF60C1"/>
    <w:rsid w:val="75FC71F4"/>
    <w:rsid w:val="76036449"/>
    <w:rsid w:val="760F18E7"/>
    <w:rsid w:val="7617490E"/>
    <w:rsid w:val="762E5C43"/>
    <w:rsid w:val="762F08F1"/>
    <w:rsid w:val="763945A0"/>
    <w:rsid w:val="763B1695"/>
    <w:rsid w:val="763F4F2B"/>
    <w:rsid w:val="7642662E"/>
    <w:rsid w:val="764830F4"/>
    <w:rsid w:val="76495038"/>
    <w:rsid w:val="765132E8"/>
    <w:rsid w:val="76574070"/>
    <w:rsid w:val="765765CC"/>
    <w:rsid w:val="76597BB5"/>
    <w:rsid w:val="765B6A82"/>
    <w:rsid w:val="765E7712"/>
    <w:rsid w:val="7667325A"/>
    <w:rsid w:val="766B7849"/>
    <w:rsid w:val="76703DEE"/>
    <w:rsid w:val="76752621"/>
    <w:rsid w:val="76783F09"/>
    <w:rsid w:val="76787657"/>
    <w:rsid w:val="767A64BE"/>
    <w:rsid w:val="767E397C"/>
    <w:rsid w:val="76820107"/>
    <w:rsid w:val="7684788F"/>
    <w:rsid w:val="768523F2"/>
    <w:rsid w:val="768619A9"/>
    <w:rsid w:val="76871461"/>
    <w:rsid w:val="7688729F"/>
    <w:rsid w:val="768944DC"/>
    <w:rsid w:val="76922DC2"/>
    <w:rsid w:val="769300B3"/>
    <w:rsid w:val="76932377"/>
    <w:rsid w:val="769A4266"/>
    <w:rsid w:val="76A84CCC"/>
    <w:rsid w:val="76A90267"/>
    <w:rsid w:val="76A91607"/>
    <w:rsid w:val="76AC6547"/>
    <w:rsid w:val="76B27586"/>
    <w:rsid w:val="76BD76F6"/>
    <w:rsid w:val="76C41997"/>
    <w:rsid w:val="76C41D5D"/>
    <w:rsid w:val="76C47738"/>
    <w:rsid w:val="76C856EF"/>
    <w:rsid w:val="76CC43E5"/>
    <w:rsid w:val="76CF4203"/>
    <w:rsid w:val="76D25EDD"/>
    <w:rsid w:val="76DC096C"/>
    <w:rsid w:val="76DE512E"/>
    <w:rsid w:val="76E15CA6"/>
    <w:rsid w:val="76E619DB"/>
    <w:rsid w:val="76E75270"/>
    <w:rsid w:val="76F23AAD"/>
    <w:rsid w:val="76F54426"/>
    <w:rsid w:val="770276E9"/>
    <w:rsid w:val="77027B09"/>
    <w:rsid w:val="770308D5"/>
    <w:rsid w:val="77081116"/>
    <w:rsid w:val="770957FF"/>
    <w:rsid w:val="770D687C"/>
    <w:rsid w:val="771D0803"/>
    <w:rsid w:val="771E4975"/>
    <w:rsid w:val="7723761D"/>
    <w:rsid w:val="77283833"/>
    <w:rsid w:val="772B537F"/>
    <w:rsid w:val="772D78D4"/>
    <w:rsid w:val="77316FF4"/>
    <w:rsid w:val="77321C76"/>
    <w:rsid w:val="773633CF"/>
    <w:rsid w:val="773A0361"/>
    <w:rsid w:val="77432AA8"/>
    <w:rsid w:val="77440948"/>
    <w:rsid w:val="77476DA7"/>
    <w:rsid w:val="774C0306"/>
    <w:rsid w:val="774D1E3B"/>
    <w:rsid w:val="774D4E5F"/>
    <w:rsid w:val="774F2BEC"/>
    <w:rsid w:val="77557F9B"/>
    <w:rsid w:val="776076D7"/>
    <w:rsid w:val="776654BC"/>
    <w:rsid w:val="77683CDB"/>
    <w:rsid w:val="77687D72"/>
    <w:rsid w:val="776E3DE0"/>
    <w:rsid w:val="776F7E7D"/>
    <w:rsid w:val="7773663D"/>
    <w:rsid w:val="777F6529"/>
    <w:rsid w:val="77863FCB"/>
    <w:rsid w:val="77894F6F"/>
    <w:rsid w:val="778A45FC"/>
    <w:rsid w:val="778E66C8"/>
    <w:rsid w:val="77912895"/>
    <w:rsid w:val="77916576"/>
    <w:rsid w:val="7792633C"/>
    <w:rsid w:val="7796644A"/>
    <w:rsid w:val="77971654"/>
    <w:rsid w:val="77997FFC"/>
    <w:rsid w:val="77A43563"/>
    <w:rsid w:val="77AA7F43"/>
    <w:rsid w:val="77AE07EE"/>
    <w:rsid w:val="77B33975"/>
    <w:rsid w:val="77B92383"/>
    <w:rsid w:val="77BF1198"/>
    <w:rsid w:val="77C22E82"/>
    <w:rsid w:val="77C97D3D"/>
    <w:rsid w:val="77CD3B00"/>
    <w:rsid w:val="77CF0BB8"/>
    <w:rsid w:val="77E11CB5"/>
    <w:rsid w:val="77E1537E"/>
    <w:rsid w:val="77E45477"/>
    <w:rsid w:val="77E621A4"/>
    <w:rsid w:val="77E65D24"/>
    <w:rsid w:val="77EA39E1"/>
    <w:rsid w:val="77EC0C49"/>
    <w:rsid w:val="77EC5C32"/>
    <w:rsid w:val="77F90509"/>
    <w:rsid w:val="77F94C63"/>
    <w:rsid w:val="77FC0F32"/>
    <w:rsid w:val="78054A92"/>
    <w:rsid w:val="7807763F"/>
    <w:rsid w:val="780950BD"/>
    <w:rsid w:val="780962B3"/>
    <w:rsid w:val="780A5321"/>
    <w:rsid w:val="780B57E0"/>
    <w:rsid w:val="78133CBD"/>
    <w:rsid w:val="781E79AA"/>
    <w:rsid w:val="78242655"/>
    <w:rsid w:val="7824500D"/>
    <w:rsid w:val="78261C79"/>
    <w:rsid w:val="782705EF"/>
    <w:rsid w:val="782D6878"/>
    <w:rsid w:val="7831032B"/>
    <w:rsid w:val="78337A2B"/>
    <w:rsid w:val="783D08F9"/>
    <w:rsid w:val="783D2AD4"/>
    <w:rsid w:val="783D3543"/>
    <w:rsid w:val="78416D7D"/>
    <w:rsid w:val="78425DDC"/>
    <w:rsid w:val="78433FA5"/>
    <w:rsid w:val="78445AB5"/>
    <w:rsid w:val="78471117"/>
    <w:rsid w:val="784723D4"/>
    <w:rsid w:val="78473964"/>
    <w:rsid w:val="786868D9"/>
    <w:rsid w:val="786B2A30"/>
    <w:rsid w:val="786C0DEC"/>
    <w:rsid w:val="786E18E5"/>
    <w:rsid w:val="78725161"/>
    <w:rsid w:val="78726EFF"/>
    <w:rsid w:val="78734617"/>
    <w:rsid w:val="78751A66"/>
    <w:rsid w:val="787C17C4"/>
    <w:rsid w:val="787D7A8A"/>
    <w:rsid w:val="787E2F46"/>
    <w:rsid w:val="787F0BF1"/>
    <w:rsid w:val="78826324"/>
    <w:rsid w:val="78870DD4"/>
    <w:rsid w:val="78887457"/>
    <w:rsid w:val="788C072B"/>
    <w:rsid w:val="78926B8F"/>
    <w:rsid w:val="78957495"/>
    <w:rsid w:val="78972E79"/>
    <w:rsid w:val="78976C24"/>
    <w:rsid w:val="789F2817"/>
    <w:rsid w:val="78AB61F0"/>
    <w:rsid w:val="78B039BD"/>
    <w:rsid w:val="78B23D78"/>
    <w:rsid w:val="78B5556D"/>
    <w:rsid w:val="78B974EF"/>
    <w:rsid w:val="78BF0036"/>
    <w:rsid w:val="78C416A2"/>
    <w:rsid w:val="78D1225D"/>
    <w:rsid w:val="78D47AEB"/>
    <w:rsid w:val="78D72242"/>
    <w:rsid w:val="78DC19F9"/>
    <w:rsid w:val="78E008D3"/>
    <w:rsid w:val="78E92FA3"/>
    <w:rsid w:val="78EC2C56"/>
    <w:rsid w:val="78F7737C"/>
    <w:rsid w:val="78F86EB6"/>
    <w:rsid w:val="78FC6CFE"/>
    <w:rsid w:val="79064732"/>
    <w:rsid w:val="79101BAE"/>
    <w:rsid w:val="79120E64"/>
    <w:rsid w:val="791D30C5"/>
    <w:rsid w:val="79247C64"/>
    <w:rsid w:val="793C4AD9"/>
    <w:rsid w:val="7951596F"/>
    <w:rsid w:val="79554206"/>
    <w:rsid w:val="795C6889"/>
    <w:rsid w:val="796421AE"/>
    <w:rsid w:val="79712039"/>
    <w:rsid w:val="797240F8"/>
    <w:rsid w:val="79750720"/>
    <w:rsid w:val="797633A6"/>
    <w:rsid w:val="79774B55"/>
    <w:rsid w:val="797835A2"/>
    <w:rsid w:val="797D0A4F"/>
    <w:rsid w:val="797D7EA6"/>
    <w:rsid w:val="797F0CAC"/>
    <w:rsid w:val="79834048"/>
    <w:rsid w:val="798C6DFC"/>
    <w:rsid w:val="798D6B8F"/>
    <w:rsid w:val="799111D8"/>
    <w:rsid w:val="79932ACB"/>
    <w:rsid w:val="79992804"/>
    <w:rsid w:val="799D3958"/>
    <w:rsid w:val="799F2B2B"/>
    <w:rsid w:val="79A10245"/>
    <w:rsid w:val="79A5649F"/>
    <w:rsid w:val="79A56781"/>
    <w:rsid w:val="79A82928"/>
    <w:rsid w:val="79AB3381"/>
    <w:rsid w:val="79B2789E"/>
    <w:rsid w:val="79B424E1"/>
    <w:rsid w:val="79B55947"/>
    <w:rsid w:val="79B90F5A"/>
    <w:rsid w:val="79B941F0"/>
    <w:rsid w:val="79C23B10"/>
    <w:rsid w:val="79C60750"/>
    <w:rsid w:val="79C64714"/>
    <w:rsid w:val="79CE32CE"/>
    <w:rsid w:val="79DE0F9E"/>
    <w:rsid w:val="79E2162B"/>
    <w:rsid w:val="79E53049"/>
    <w:rsid w:val="79E63C4F"/>
    <w:rsid w:val="79E82D72"/>
    <w:rsid w:val="79E91EDD"/>
    <w:rsid w:val="79E92580"/>
    <w:rsid w:val="79EB3211"/>
    <w:rsid w:val="79F21EB6"/>
    <w:rsid w:val="79F60B44"/>
    <w:rsid w:val="79F63922"/>
    <w:rsid w:val="79F9325B"/>
    <w:rsid w:val="79FA628B"/>
    <w:rsid w:val="7A002967"/>
    <w:rsid w:val="7A0563A5"/>
    <w:rsid w:val="7A057D7A"/>
    <w:rsid w:val="7A074EEA"/>
    <w:rsid w:val="7A0B0899"/>
    <w:rsid w:val="7A0D1480"/>
    <w:rsid w:val="7A1248FC"/>
    <w:rsid w:val="7A19175E"/>
    <w:rsid w:val="7A1A463D"/>
    <w:rsid w:val="7A1F3118"/>
    <w:rsid w:val="7A2123B1"/>
    <w:rsid w:val="7A212585"/>
    <w:rsid w:val="7A2140F9"/>
    <w:rsid w:val="7A26070A"/>
    <w:rsid w:val="7A275D1D"/>
    <w:rsid w:val="7A2D3F09"/>
    <w:rsid w:val="7A2F7CC7"/>
    <w:rsid w:val="7A314EBC"/>
    <w:rsid w:val="7A331AEE"/>
    <w:rsid w:val="7A35481C"/>
    <w:rsid w:val="7A354C4B"/>
    <w:rsid w:val="7A365532"/>
    <w:rsid w:val="7A395FF3"/>
    <w:rsid w:val="7A405FC2"/>
    <w:rsid w:val="7A435F73"/>
    <w:rsid w:val="7A484380"/>
    <w:rsid w:val="7A49019D"/>
    <w:rsid w:val="7A491DF7"/>
    <w:rsid w:val="7A4A0EAB"/>
    <w:rsid w:val="7A4E2489"/>
    <w:rsid w:val="7A510591"/>
    <w:rsid w:val="7A5704F8"/>
    <w:rsid w:val="7A5C3C99"/>
    <w:rsid w:val="7A5E3725"/>
    <w:rsid w:val="7A66670A"/>
    <w:rsid w:val="7A6A0050"/>
    <w:rsid w:val="7A6D3D36"/>
    <w:rsid w:val="7A6E2CBA"/>
    <w:rsid w:val="7A6F194B"/>
    <w:rsid w:val="7A742215"/>
    <w:rsid w:val="7A753C54"/>
    <w:rsid w:val="7A754FDF"/>
    <w:rsid w:val="7A83717A"/>
    <w:rsid w:val="7A9100B2"/>
    <w:rsid w:val="7A9B29C0"/>
    <w:rsid w:val="7A9F0047"/>
    <w:rsid w:val="7AA07F01"/>
    <w:rsid w:val="7AA63444"/>
    <w:rsid w:val="7AA73F64"/>
    <w:rsid w:val="7AA909F8"/>
    <w:rsid w:val="7AAD4495"/>
    <w:rsid w:val="7AAE59C5"/>
    <w:rsid w:val="7AAF49CC"/>
    <w:rsid w:val="7ABC5A46"/>
    <w:rsid w:val="7ABD4551"/>
    <w:rsid w:val="7AD47B2E"/>
    <w:rsid w:val="7AD8467D"/>
    <w:rsid w:val="7AD91381"/>
    <w:rsid w:val="7ADD0760"/>
    <w:rsid w:val="7ADD4041"/>
    <w:rsid w:val="7ADF1C25"/>
    <w:rsid w:val="7AE20807"/>
    <w:rsid w:val="7AE84554"/>
    <w:rsid w:val="7AE87512"/>
    <w:rsid w:val="7AEB4198"/>
    <w:rsid w:val="7AFB522B"/>
    <w:rsid w:val="7AFD76D6"/>
    <w:rsid w:val="7AFF79A1"/>
    <w:rsid w:val="7B067BA1"/>
    <w:rsid w:val="7B1812AA"/>
    <w:rsid w:val="7B206FC0"/>
    <w:rsid w:val="7B23448A"/>
    <w:rsid w:val="7B251E0C"/>
    <w:rsid w:val="7B257558"/>
    <w:rsid w:val="7B265085"/>
    <w:rsid w:val="7B2650B2"/>
    <w:rsid w:val="7B336090"/>
    <w:rsid w:val="7B3467B8"/>
    <w:rsid w:val="7B3765C3"/>
    <w:rsid w:val="7B3979A2"/>
    <w:rsid w:val="7B47209B"/>
    <w:rsid w:val="7B485DA8"/>
    <w:rsid w:val="7B4B64AC"/>
    <w:rsid w:val="7B4E4863"/>
    <w:rsid w:val="7B4F57E4"/>
    <w:rsid w:val="7B573350"/>
    <w:rsid w:val="7B5C4AD3"/>
    <w:rsid w:val="7B5E28A5"/>
    <w:rsid w:val="7B6360BF"/>
    <w:rsid w:val="7B6629C8"/>
    <w:rsid w:val="7B7509BC"/>
    <w:rsid w:val="7B774CDD"/>
    <w:rsid w:val="7B7B3C8D"/>
    <w:rsid w:val="7B810F45"/>
    <w:rsid w:val="7B84264C"/>
    <w:rsid w:val="7B863431"/>
    <w:rsid w:val="7B876469"/>
    <w:rsid w:val="7B8A175C"/>
    <w:rsid w:val="7B8C6CF9"/>
    <w:rsid w:val="7B8E5202"/>
    <w:rsid w:val="7B973401"/>
    <w:rsid w:val="7B986056"/>
    <w:rsid w:val="7B9F7E19"/>
    <w:rsid w:val="7BA44099"/>
    <w:rsid w:val="7BAC7ACF"/>
    <w:rsid w:val="7BAD5EB3"/>
    <w:rsid w:val="7BB526AB"/>
    <w:rsid w:val="7BB86A78"/>
    <w:rsid w:val="7BBD27B3"/>
    <w:rsid w:val="7BBE0110"/>
    <w:rsid w:val="7BD07227"/>
    <w:rsid w:val="7BD642A9"/>
    <w:rsid w:val="7BD64369"/>
    <w:rsid w:val="7BDE1F8B"/>
    <w:rsid w:val="7BE86AED"/>
    <w:rsid w:val="7BEA0D6E"/>
    <w:rsid w:val="7BEE041A"/>
    <w:rsid w:val="7BF12DB6"/>
    <w:rsid w:val="7BF3763D"/>
    <w:rsid w:val="7BF70BDB"/>
    <w:rsid w:val="7BFA0929"/>
    <w:rsid w:val="7C0040B1"/>
    <w:rsid w:val="7C0F5DF3"/>
    <w:rsid w:val="7C114B04"/>
    <w:rsid w:val="7C207326"/>
    <w:rsid w:val="7C252E67"/>
    <w:rsid w:val="7C264F3B"/>
    <w:rsid w:val="7C277BA1"/>
    <w:rsid w:val="7C295334"/>
    <w:rsid w:val="7C394526"/>
    <w:rsid w:val="7C3A323F"/>
    <w:rsid w:val="7C3A512B"/>
    <w:rsid w:val="7C3D31FB"/>
    <w:rsid w:val="7C462159"/>
    <w:rsid w:val="7C4E5245"/>
    <w:rsid w:val="7C56005E"/>
    <w:rsid w:val="7C595916"/>
    <w:rsid w:val="7C5A3F5B"/>
    <w:rsid w:val="7C6C0C67"/>
    <w:rsid w:val="7C8730B6"/>
    <w:rsid w:val="7C8C56C1"/>
    <w:rsid w:val="7C8F3FE5"/>
    <w:rsid w:val="7C8F64D4"/>
    <w:rsid w:val="7C905D24"/>
    <w:rsid w:val="7C943540"/>
    <w:rsid w:val="7C953529"/>
    <w:rsid w:val="7C974207"/>
    <w:rsid w:val="7C992723"/>
    <w:rsid w:val="7C9C43F7"/>
    <w:rsid w:val="7C9F0B55"/>
    <w:rsid w:val="7CA3408B"/>
    <w:rsid w:val="7CA72B6E"/>
    <w:rsid w:val="7CA93654"/>
    <w:rsid w:val="7CB02C06"/>
    <w:rsid w:val="7CB86754"/>
    <w:rsid w:val="7CB8780E"/>
    <w:rsid w:val="7CB87F24"/>
    <w:rsid w:val="7CBB1092"/>
    <w:rsid w:val="7CC27428"/>
    <w:rsid w:val="7CC36415"/>
    <w:rsid w:val="7CC578D0"/>
    <w:rsid w:val="7CCD6E3C"/>
    <w:rsid w:val="7CCD7AED"/>
    <w:rsid w:val="7CCE4E3A"/>
    <w:rsid w:val="7CD04690"/>
    <w:rsid w:val="7CD343D6"/>
    <w:rsid w:val="7CD4718D"/>
    <w:rsid w:val="7CD73FBC"/>
    <w:rsid w:val="7CD90D08"/>
    <w:rsid w:val="7CE303DB"/>
    <w:rsid w:val="7CE40F94"/>
    <w:rsid w:val="7CF1579E"/>
    <w:rsid w:val="7CFA1240"/>
    <w:rsid w:val="7CFA22FB"/>
    <w:rsid w:val="7CFC340E"/>
    <w:rsid w:val="7D040067"/>
    <w:rsid w:val="7D043119"/>
    <w:rsid w:val="7D0C336A"/>
    <w:rsid w:val="7D0D64B3"/>
    <w:rsid w:val="7D182AC8"/>
    <w:rsid w:val="7D1A4072"/>
    <w:rsid w:val="7D1C621D"/>
    <w:rsid w:val="7D1D34E6"/>
    <w:rsid w:val="7D1F7EA7"/>
    <w:rsid w:val="7D2D0D80"/>
    <w:rsid w:val="7D2F08FD"/>
    <w:rsid w:val="7D3341C8"/>
    <w:rsid w:val="7D37290A"/>
    <w:rsid w:val="7D430C64"/>
    <w:rsid w:val="7D445FC8"/>
    <w:rsid w:val="7D491545"/>
    <w:rsid w:val="7D4D770F"/>
    <w:rsid w:val="7D5113EE"/>
    <w:rsid w:val="7D596FF5"/>
    <w:rsid w:val="7D61050A"/>
    <w:rsid w:val="7D625E5B"/>
    <w:rsid w:val="7D651D74"/>
    <w:rsid w:val="7D670E3D"/>
    <w:rsid w:val="7D6E24A4"/>
    <w:rsid w:val="7D70026D"/>
    <w:rsid w:val="7D77504B"/>
    <w:rsid w:val="7D7854A0"/>
    <w:rsid w:val="7D7D2970"/>
    <w:rsid w:val="7D7D341B"/>
    <w:rsid w:val="7D7D457E"/>
    <w:rsid w:val="7D7F783A"/>
    <w:rsid w:val="7D813C02"/>
    <w:rsid w:val="7D823B1A"/>
    <w:rsid w:val="7D8306FD"/>
    <w:rsid w:val="7D85260B"/>
    <w:rsid w:val="7D8B5360"/>
    <w:rsid w:val="7D921C92"/>
    <w:rsid w:val="7D922E2B"/>
    <w:rsid w:val="7D9373BB"/>
    <w:rsid w:val="7DA856EA"/>
    <w:rsid w:val="7DA859A8"/>
    <w:rsid w:val="7DAA6E99"/>
    <w:rsid w:val="7DAD2A2A"/>
    <w:rsid w:val="7DAF78B1"/>
    <w:rsid w:val="7DB753AE"/>
    <w:rsid w:val="7DBF42A2"/>
    <w:rsid w:val="7DC150C4"/>
    <w:rsid w:val="7DC614C4"/>
    <w:rsid w:val="7DC96370"/>
    <w:rsid w:val="7DCA0406"/>
    <w:rsid w:val="7DD24DF0"/>
    <w:rsid w:val="7DD771EC"/>
    <w:rsid w:val="7DDB1750"/>
    <w:rsid w:val="7DDB6462"/>
    <w:rsid w:val="7DE027E7"/>
    <w:rsid w:val="7DE07D8D"/>
    <w:rsid w:val="7DE21A03"/>
    <w:rsid w:val="7DE2309E"/>
    <w:rsid w:val="7DE34E4B"/>
    <w:rsid w:val="7DFF4FF0"/>
    <w:rsid w:val="7E0367E8"/>
    <w:rsid w:val="7E061191"/>
    <w:rsid w:val="7E064565"/>
    <w:rsid w:val="7E0F613D"/>
    <w:rsid w:val="7E144D80"/>
    <w:rsid w:val="7E156A8D"/>
    <w:rsid w:val="7E1A10E8"/>
    <w:rsid w:val="7E1C537E"/>
    <w:rsid w:val="7E2020A3"/>
    <w:rsid w:val="7E2350C7"/>
    <w:rsid w:val="7E252CFE"/>
    <w:rsid w:val="7E277664"/>
    <w:rsid w:val="7E2D16DD"/>
    <w:rsid w:val="7E301A73"/>
    <w:rsid w:val="7E314D66"/>
    <w:rsid w:val="7E4203A0"/>
    <w:rsid w:val="7E4367D5"/>
    <w:rsid w:val="7E4503F3"/>
    <w:rsid w:val="7E4B0824"/>
    <w:rsid w:val="7E4E0DD2"/>
    <w:rsid w:val="7E4E58D0"/>
    <w:rsid w:val="7E516A72"/>
    <w:rsid w:val="7E520EAB"/>
    <w:rsid w:val="7E5612FC"/>
    <w:rsid w:val="7E565955"/>
    <w:rsid w:val="7E622DEC"/>
    <w:rsid w:val="7E640FD6"/>
    <w:rsid w:val="7E7046E1"/>
    <w:rsid w:val="7E7E5762"/>
    <w:rsid w:val="7E813642"/>
    <w:rsid w:val="7E8144EE"/>
    <w:rsid w:val="7E8631E6"/>
    <w:rsid w:val="7E866CB7"/>
    <w:rsid w:val="7E89465C"/>
    <w:rsid w:val="7E8E2141"/>
    <w:rsid w:val="7E91682D"/>
    <w:rsid w:val="7E91761F"/>
    <w:rsid w:val="7E947029"/>
    <w:rsid w:val="7EA2139B"/>
    <w:rsid w:val="7EA46C4B"/>
    <w:rsid w:val="7EAF7D8F"/>
    <w:rsid w:val="7EBB29B1"/>
    <w:rsid w:val="7EBB4396"/>
    <w:rsid w:val="7EBE7549"/>
    <w:rsid w:val="7EBE7E94"/>
    <w:rsid w:val="7ECC6455"/>
    <w:rsid w:val="7ECD2985"/>
    <w:rsid w:val="7ED044DD"/>
    <w:rsid w:val="7ED701E8"/>
    <w:rsid w:val="7EE0733F"/>
    <w:rsid w:val="7EE17DDE"/>
    <w:rsid w:val="7EEA00DD"/>
    <w:rsid w:val="7EEC59C9"/>
    <w:rsid w:val="7EFA4462"/>
    <w:rsid w:val="7F023C35"/>
    <w:rsid w:val="7F0E0139"/>
    <w:rsid w:val="7F122E78"/>
    <w:rsid w:val="7F125EDC"/>
    <w:rsid w:val="7F1272BE"/>
    <w:rsid w:val="7F1340C2"/>
    <w:rsid w:val="7F1340C3"/>
    <w:rsid w:val="7F134278"/>
    <w:rsid w:val="7F146808"/>
    <w:rsid w:val="7F1D54C4"/>
    <w:rsid w:val="7F1F7E73"/>
    <w:rsid w:val="7F2218C6"/>
    <w:rsid w:val="7F2A517A"/>
    <w:rsid w:val="7F2C59B1"/>
    <w:rsid w:val="7F2E583D"/>
    <w:rsid w:val="7F52499B"/>
    <w:rsid w:val="7F55396E"/>
    <w:rsid w:val="7F5F086A"/>
    <w:rsid w:val="7F6A1C8E"/>
    <w:rsid w:val="7F6A2916"/>
    <w:rsid w:val="7F6C4FEE"/>
    <w:rsid w:val="7F6F3192"/>
    <w:rsid w:val="7F6F563D"/>
    <w:rsid w:val="7F7234F6"/>
    <w:rsid w:val="7F750E61"/>
    <w:rsid w:val="7F7F2E2D"/>
    <w:rsid w:val="7F80296F"/>
    <w:rsid w:val="7F861484"/>
    <w:rsid w:val="7F891C9F"/>
    <w:rsid w:val="7F8B5A1D"/>
    <w:rsid w:val="7F8D0277"/>
    <w:rsid w:val="7F8E76F8"/>
    <w:rsid w:val="7F9B39DA"/>
    <w:rsid w:val="7FA016F8"/>
    <w:rsid w:val="7FA55B81"/>
    <w:rsid w:val="7FAE666F"/>
    <w:rsid w:val="7FB013D0"/>
    <w:rsid w:val="7FB73BA4"/>
    <w:rsid w:val="7FB85670"/>
    <w:rsid w:val="7FBC140E"/>
    <w:rsid w:val="7FBF563C"/>
    <w:rsid w:val="7FCD7A0D"/>
    <w:rsid w:val="7FCF14BD"/>
    <w:rsid w:val="7FD12282"/>
    <w:rsid w:val="7FD160CF"/>
    <w:rsid w:val="7FE150C5"/>
    <w:rsid w:val="7FE42198"/>
    <w:rsid w:val="7FE526F7"/>
    <w:rsid w:val="7FEF11EE"/>
    <w:rsid w:val="7FEF4D10"/>
    <w:rsid w:val="7FF4484A"/>
    <w:rsid w:val="7FFC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3"/>
    <w:qFormat/>
    <w:uiPriority w:val="0"/>
    <w:pPr>
      <w:keepNext/>
      <w:widowControl/>
      <w:jc w:val="left"/>
      <w:outlineLvl w:val="0"/>
    </w:pPr>
    <w:rPr>
      <w:rFonts w:ascii="Times New Roman" w:hAnsi="Times New Roman"/>
      <w:b/>
      <w:bCs/>
      <w:kern w:val="0"/>
      <w:sz w:val="24"/>
    </w:rPr>
  </w:style>
  <w:style w:type="paragraph" w:styleId="4">
    <w:name w:val="heading 2"/>
    <w:basedOn w:val="1"/>
    <w:next w:val="1"/>
    <w:link w:val="11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13"/>
    <w:qFormat/>
    <w:uiPriority w:val="0"/>
    <w:pPr>
      <w:keepNext/>
      <w:outlineLvl w:val="2"/>
    </w:pPr>
    <w:rPr>
      <w:rFonts w:ascii="楷体_GB2312" w:hAnsi="宋体" w:eastAsia="楷体_GB2312"/>
      <w:b/>
      <w:bCs/>
      <w:kern w:val="0"/>
      <w:sz w:val="32"/>
    </w:rPr>
  </w:style>
  <w:style w:type="paragraph" w:styleId="6">
    <w:name w:val="heading 4"/>
    <w:basedOn w:val="1"/>
    <w:next w:val="1"/>
    <w:link w:val="129"/>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5"/>
    <w:basedOn w:val="1"/>
    <w:next w:val="1"/>
    <w:link w:val="100"/>
    <w:qFormat/>
    <w:uiPriority w:val="0"/>
    <w:pPr>
      <w:keepNext/>
      <w:keepLines/>
      <w:widowControl/>
      <w:spacing w:before="280" w:after="290" w:line="376" w:lineRule="auto"/>
      <w:jc w:val="left"/>
      <w:outlineLvl w:val="4"/>
    </w:pPr>
    <w:rPr>
      <w:rFonts w:ascii="Times New Roman" w:hAnsi="Times New Roman"/>
      <w:b/>
      <w:bCs/>
      <w:kern w:val="0"/>
      <w:sz w:val="28"/>
      <w:szCs w:val="28"/>
    </w:rPr>
  </w:style>
  <w:style w:type="paragraph" w:styleId="8">
    <w:name w:val="heading 6"/>
    <w:basedOn w:val="1"/>
    <w:next w:val="1"/>
    <w:link w:val="134"/>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9">
    <w:name w:val="heading 7"/>
    <w:basedOn w:val="1"/>
    <w:next w:val="1"/>
    <w:link w:val="108"/>
    <w:qFormat/>
    <w:uiPriority w:val="0"/>
    <w:pPr>
      <w:keepNext/>
      <w:keepLines/>
      <w:widowControl/>
      <w:spacing w:before="240" w:after="64" w:line="320" w:lineRule="auto"/>
      <w:jc w:val="left"/>
      <w:outlineLvl w:val="6"/>
    </w:pPr>
    <w:rPr>
      <w:rFonts w:ascii="Times New Roman" w:hAnsi="Times New Roman"/>
      <w:b/>
      <w:bCs/>
      <w:kern w:val="0"/>
      <w:sz w:val="24"/>
    </w:rPr>
  </w:style>
  <w:style w:type="paragraph" w:styleId="10">
    <w:name w:val="heading 8"/>
    <w:basedOn w:val="1"/>
    <w:next w:val="1"/>
    <w:link w:val="127"/>
    <w:qFormat/>
    <w:uiPriority w:val="0"/>
    <w:pPr>
      <w:keepNext/>
      <w:keepLines/>
      <w:widowControl/>
      <w:spacing w:before="240" w:after="64" w:line="320" w:lineRule="auto"/>
      <w:jc w:val="left"/>
      <w:outlineLvl w:val="7"/>
    </w:pPr>
    <w:rPr>
      <w:rFonts w:ascii="Arial" w:hAnsi="Arial" w:eastAsia="黑体"/>
      <w:kern w:val="0"/>
      <w:sz w:val="24"/>
    </w:rPr>
  </w:style>
  <w:style w:type="paragraph" w:styleId="11">
    <w:name w:val="heading 9"/>
    <w:basedOn w:val="1"/>
    <w:next w:val="1"/>
    <w:link w:val="117"/>
    <w:qFormat/>
    <w:uiPriority w:val="0"/>
    <w:pPr>
      <w:keepNext/>
      <w:keepLines/>
      <w:widowControl/>
      <w:spacing w:before="240" w:after="64" w:line="320" w:lineRule="auto"/>
      <w:jc w:val="left"/>
      <w:outlineLvl w:val="8"/>
    </w:pPr>
    <w:rPr>
      <w:rFonts w:ascii="Arial" w:hAnsi="Arial" w:eastAsia="黑体"/>
      <w:kern w:val="0"/>
      <w:sz w:val="2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25"/>
    <w:qFormat/>
    <w:uiPriority w:val="0"/>
    <w:pPr>
      <w:ind w:firstLine="420" w:firstLineChars="200"/>
    </w:pPr>
    <w:rPr>
      <w:rFonts w:ascii="Times New Roman" w:hAnsi="Times New Roman"/>
      <w:kern w:val="0"/>
      <w:sz w:val="20"/>
      <w:szCs w:val="21"/>
    </w:rPr>
  </w:style>
  <w:style w:type="paragraph" w:styleId="12">
    <w:name w:val="toc 7"/>
    <w:basedOn w:val="1"/>
    <w:next w:val="1"/>
    <w:qFormat/>
    <w:uiPriority w:val="0"/>
    <w:pPr>
      <w:ind w:left="1260"/>
      <w:jc w:val="left"/>
    </w:pPr>
    <w:rPr>
      <w:rFonts w:cs="Calibri"/>
      <w:sz w:val="18"/>
      <w:szCs w:val="18"/>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18"/>
    <w:qFormat/>
    <w:uiPriority w:val="0"/>
    <w:pPr>
      <w:shd w:val="clear" w:color="auto" w:fill="000080"/>
    </w:pPr>
    <w:rPr>
      <w:rFonts w:ascii="Times New Roman" w:hAnsi="Times New Roman"/>
      <w:kern w:val="0"/>
      <w:sz w:val="20"/>
      <w:szCs w:val="20"/>
    </w:rPr>
  </w:style>
  <w:style w:type="paragraph" w:styleId="15">
    <w:name w:val="annotation text"/>
    <w:basedOn w:val="1"/>
    <w:link w:val="103"/>
    <w:qFormat/>
    <w:uiPriority w:val="0"/>
    <w:pPr>
      <w:jc w:val="left"/>
    </w:pPr>
    <w:rPr>
      <w:kern w:val="0"/>
      <w:sz w:val="20"/>
    </w:rPr>
  </w:style>
  <w:style w:type="paragraph" w:styleId="16">
    <w:name w:val="Body Text 3"/>
    <w:basedOn w:val="1"/>
    <w:link w:val="119"/>
    <w:qFormat/>
    <w:uiPriority w:val="0"/>
    <w:pPr>
      <w:spacing w:after="120"/>
    </w:pPr>
    <w:rPr>
      <w:rFonts w:ascii="Times New Roman" w:hAnsi="Times New Roman"/>
      <w:kern w:val="0"/>
      <w:sz w:val="16"/>
      <w:szCs w:val="16"/>
    </w:rPr>
  </w:style>
  <w:style w:type="paragraph" w:styleId="17">
    <w:name w:val="Body Text"/>
    <w:basedOn w:val="1"/>
    <w:link w:val="105"/>
    <w:qFormat/>
    <w:uiPriority w:val="99"/>
    <w:pPr>
      <w:spacing w:after="120"/>
    </w:pPr>
    <w:rPr>
      <w:rFonts w:ascii="Times New Roman" w:hAnsi="Times New Roman"/>
      <w:kern w:val="0"/>
      <w:sz w:val="20"/>
    </w:rPr>
  </w:style>
  <w:style w:type="paragraph" w:styleId="18">
    <w:name w:val="Body Text Indent"/>
    <w:basedOn w:val="1"/>
    <w:link w:val="120"/>
    <w:qFormat/>
    <w:uiPriority w:val="99"/>
    <w:pPr>
      <w:spacing w:line="560" w:lineRule="exact"/>
      <w:ind w:left="300"/>
    </w:pPr>
    <w:rPr>
      <w:rFonts w:ascii="Times New Roman" w:hAnsi="Times New Roman"/>
      <w:kern w:val="0"/>
      <w:sz w:val="24"/>
    </w:rPr>
  </w:style>
  <w:style w:type="paragraph" w:styleId="19">
    <w:name w:val="toc 5"/>
    <w:basedOn w:val="1"/>
    <w:next w:val="1"/>
    <w:qFormat/>
    <w:uiPriority w:val="0"/>
    <w:pPr>
      <w:ind w:left="840"/>
      <w:jc w:val="left"/>
    </w:pPr>
    <w:rPr>
      <w:rFonts w:cs="Calibri"/>
      <w:sz w:val="18"/>
      <w:szCs w:val="18"/>
    </w:rPr>
  </w:style>
  <w:style w:type="paragraph" w:styleId="20">
    <w:name w:val="toc 3"/>
    <w:basedOn w:val="1"/>
    <w:next w:val="1"/>
    <w:qFormat/>
    <w:uiPriority w:val="39"/>
    <w:pPr>
      <w:ind w:left="420"/>
      <w:jc w:val="left"/>
    </w:pPr>
    <w:rPr>
      <w:rFonts w:cs="Calibri"/>
      <w:i/>
      <w:iCs/>
      <w:sz w:val="20"/>
      <w:szCs w:val="20"/>
    </w:rPr>
  </w:style>
  <w:style w:type="paragraph" w:styleId="21">
    <w:name w:val="Plain Text"/>
    <w:basedOn w:val="1"/>
    <w:next w:val="1"/>
    <w:link w:val="132"/>
    <w:qFormat/>
    <w:uiPriority w:val="0"/>
    <w:rPr>
      <w:rFonts w:ascii="宋体" w:hAnsi="Courier New"/>
      <w:kern w:val="0"/>
      <w:sz w:val="20"/>
      <w:szCs w:val="21"/>
    </w:rPr>
  </w:style>
  <w:style w:type="paragraph" w:styleId="22">
    <w:name w:val="toc 8"/>
    <w:basedOn w:val="1"/>
    <w:next w:val="1"/>
    <w:qFormat/>
    <w:uiPriority w:val="0"/>
    <w:pPr>
      <w:ind w:left="1470"/>
      <w:jc w:val="left"/>
    </w:pPr>
    <w:rPr>
      <w:rFonts w:cs="Calibri"/>
      <w:sz w:val="18"/>
      <w:szCs w:val="18"/>
    </w:rPr>
  </w:style>
  <w:style w:type="paragraph" w:styleId="23">
    <w:name w:val="Date"/>
    <w:basedOn w:val="1"/>
    <w:next w:val="1"/>
    <w:link w:val="131"/>
    <w:qFormat/>
    <w:uiPriority w:val="0"/>
    <w:pPr>
      <w:widowControl/>
    </w:pPr>
    <w:rPr>
      <w:rFonts w:ascii="宋体" w:hAnsi="Times New Roman"/>
      <w:kern w:val="0"/>
      <w:sz w:val="20"/>
      <w:szCs w:val="20"/>
    </w:rPr>
  </w:style>
  <w:style w:type="paragraph" w:styleId="24">
    <w:name w:val="Body Text Indent 2"/>
    <w:basedOn w:val="1"/>
    <w:link w:val="104"/>
    <w:qFormat/>
    <w:uiPriority w:val="0"/>
    <w:pPr>
      <w:spacing w:line="540" w:lineRule="exact"/>
      <w:ind w:left="462" w:leftChars="220"/>
    </w:pPr>
    <w:rPr>
      <w:rFonts w:ascii="Times New Roman" w:hAnsi="Times New Roman"/>
      <w:kern w:val="0"/>
      <w:sz w:val="24"/>
    </w:rPr>
  </w:style>
  <w:style w:type="paragraph" w:styleId="25">
    <w:name w:val="endnote text"/>
    <w:basedOn w:val="1"/>
    <w:qFormat/>
    <w:uiPriority w:val="0"/>
    <w:pPr>
      <w:snapToGrid w:val="0"/>
      <w:jc w:val="left"/>
    </w:pPr>
    <w:rPr>
      <w:rFonts w:ascii="宋体" w:hAnsi="宋体"/>
      <w:kern w:val="0"/>
      <w:sz w:val="28"/>
    </w:rPr>
  </w:style>
  <w:style w:type="paragraph" w:styleId="26">
    <w:name w:val="Balloon Text"/>
    <w:basedOn w:val="1"/>
    <w:link w:val="106"/>
    <w:qFormat/>
    <w:uiPriority w:val="99"/>
    <w:rPr>
      <w:rFonts w:ascii="Times New Roman" w:hAnsi="Times New Roman"/>
      <w:sz w:val="18"/>
      <w:szCs w:val="18"/>
    </w:rPr>
  </w:style>
  <w:style w:type="paragraph" w:styleId="27">
    <w:name w:val="footer"/>
    <w:basedOn w:val="1"/>
    <w:link w:val="97"/>
    <w:unhideWhenUsed/>
    <w:qFormat/>
    <w:uiPriority w:val="99"/>
    <w:pPr>
      <w:tabs>
        <w:tab w:val="center" w:pos="4153"/>
        <w:tab w:val="right" w:pos="8306"/>
      </w:tabs>
      <w:snapToGrid w:val="0"/>
      <w:jc w:val="left"/>
    </w:pPr>
    <w:rPr>
      <w:kern w:val="0"/>
      <w:sz w:val="18"/>
      <w:szCs w:val="18"/>
    </w:rPr>
  </w:style>
  <w:style w:type="paragraph" w:styleId="28">
    <w:name w:val="header"/>
    <w:basedOn w:val="1"/>
    <w:link w:val="10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cs="Calibri"/>
      <w:b/>
      <w:bCs/>
      <w:caps/>
      <w:szCs w:val="20"/>
    </w:rPr>
  </w:style>
  <w:style w:type="paragraph" w:styleId="30">
    <w:name w:val="toc 4"/>
    <w:basedOn w:val="1"/>
    <w:next w:val="1"/>
    <w:qFormat/>
    <w:uiPriority w:val="0"/>
    <w:pPr>
      <w:ind w:left="630"/>
      <w:jc w:val="left"/>
    </w:pPr>
    <w:rPr>
      <w:rFonts w:cs="Calibri"/>
      <w:sz w:val="18"/>
      <w:szCs w:val="18"/>
    </w:rPr>
  </w:style>
  <w:style w:type="paragraph" w:styleId="31">
    <w:name w:val="toc 6"/>
    <w:basedOn w:val="1"/>
    <w:next w:val="1"/>
    <w:qFormat/>
    <w:uiPriority w:val="0"/>
    <w:pPr>
      <w:ind w:left="1050"/>
      <w:jc w:val="left"/>
    </w:pPr>
    <w:rPr>
      <w:rFonts w:cs="Calibri"/>
      <w:sz w:val="18"/>
      <w:szCs w:val="18"/>
    </w:rPr>
  </w:style>
  <w:style w:type="paragraph" w:styleId="32">
    <w:name w:val="Body Text Indent 3"/>
    <w:basedOn w:val="1"/>
    <w:link w:val="122"/>
    <w:qFormat/>
    <w:uiPriority w:val="0"/>
    <w:pPr>
      <w:spacing w:after="120"/>
      <w:ind w:left="420" w:leftChars="200"/>
    </w:pPr>
    <w:rPr>
      <w:rFonts w:ascii="Times New Roman" w:hAnsi="Times New Roman"/>
      <w:kern w:val="0"/>
      <w:sz w:val="16"/>
      <w:szCs w:val="16"/>
    </w:rPr>
  </w:style>
  <w:style w:type="paragraph" w:styleId="33">
    <w:name w:val="toc 2"/>
    <w:basedOn w:val="1"/>
    <w:next w:val="1"/>
    <w:qFormat/>
    <w:uiPriority w:val="39"/>
    <w:pPr>
      <w:ind w:left="210"/>
      <w:jc w:val="left"/>
    </w:pPr>
    <w:rPr>
      <w:rFonts w:cs="Calibri"/>
      <w:smallCaps/>
      <w:szCs w:val="20"/>
    </w:rPr>
  </w:style>
  <w:style w:type="paragraph" w:styleId="34">
    <w:name w:val="toc 9"/>
    <w:basedOn w:val="1"/>
    <w:next w:val="1"/>
    <w:qFormat/>
    <w:uiPriority w:val="0"/>
    <w:pPr>
      <w:ind w:left="1680"/>
      <w:jc w:val="left"/>
    </w:pPr>
    <w:rPr>
      <w:rFonts w:cs="Calibri"/>
      <w:sz w:val="18"/>
      <w:szCs w:val="18"/>
    </w:rPr>
  </w:style>
  <w:style w:type="paragraph" w:styleId="35">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annotation subject"/>
    <w:basedOn w:val="15"/>
    <w:next w:val="15"/>
    <w:link w:val="112"/>
    <w:semiHidden/>
    <w:qFormat/>
    <w:uiPriority w:val="0"/>
    <w:rPr>
      <w:rFonts w:ascii="Times New Roman" w:hAnsi="Times New Roman"/>
      <w:b/>
      <w:bCs/>
    </w:rPr>
  </w:style>
  <w:style w:type="paragraph" w:styleId="38">
    <w:name w:val="Body Text First Indent"/>
    <w:basedOn w:val="17"/>
    <w:semiHidden/>
    <w:unhideWhenUsed/>
    <w:qFormat/>
    <w:uiPriority w:val="99"/>
    <w:pPr>
      <w:ind w:firstLine="420" w:firstLineChars="100"/>
    </w:pPr>
  </w:style>
  <w:style w:type="paragraph" w:styleId="39">
    <w:name w:val="Body Text First Indent 2"/>
    <w:basedOn w:val="17"/>
    <w:link w:val="124"/>
    <w:unhideWhenUsed/>
    <w:qFormat/>
    <w:uiPriority w:val="0"/>
    <w:pPr>
      <w:spacing w:after="0" w:line="360" w:lineRule="auto"/>
      <w:ind w:firstLine="200" w:firstLineChars="200"/>
    </w:pPr>
    <w:rPr>
      <w:rFonts w:ascii="等线" w:hAnsi="等线" w:eastAsia="等线"/>
      <w:kern w:val="2"/>
      <w:sz w:val="24"/>
      <w:szCs w:val="22"/>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unhideWhenUsed/>
    <w:qFormat/>
    <w:uiPriority w:val="99"/>
    <w:rPr>
      <w:color w:val="800080"/>
      <w:u w:val="single"/>
    </w:rPr>
  </w:style>
  <w:style w:type="character" w:styleId="46">
    <w:name w:val="Emphasis"/>
    <w:qFormat/>
    <w:uiPriority w:val="20"/>
    <w:rPr>
      <w:color w:val="CC0000"/>
    </w:rPr>
  </w:style>
  <w:style w:type="character" w:styleId="47">
    <w:name w:val="Hyperlink"/>
    <w:qFormat/>
    <w:uiPriority w:val="99"/>
    <w:rPr>
      <w:rFonts w:eastAsia="宋体"/>
      <w:color w:val="0000FF"/>
      <w:sz w:val="28"/>
      <w:u w:val="single"/>
    </w:rPr>
  </w:style>
  <w:style w:type="character" w:styleId="48">
    <w:name w:val="annotation reference"/>
    <w:qFormat/>
    <w:uiPriority w:val="99"/>
    <w:rPr>
      <w:sz w:val="21"/>
      <w:szCs w:val="21"/>
    </w:rPr>
  </w:style>
  <w:style w:type="paragraph" w:customStyle="1" w:styleId="49">
    <w:name w:val="Char Char2 Char11"/>
    <w:basedOn w:val="1"/>
    <w:qFormat/>
    <w:uiPriority w:val="0"/>
    <w:rPr>
      <w:b/>
      <w:sz w:val="28"/>
      <w:szCs w:val="28"/>
    </w:rPr>
  </w:style>
  <w:style w:type="paragraph" w:customStyle="1" w:styleId="50">
    <w:name w:val="TOC2"/>
    <w:basedOn w:val="1"/>
    <w:next w:val="1"/>
    <w:qFormat/>
    <w:uiPriority w:val="0"/>
    <w:pPr>
      <w:ind w:left="210"/>
      <w:jc w:val="left"/>
      <w:textAlignment w:val="baseline"/>
    </w:pPr>
    <w:rPr>
      <w:smallCaps/>
      <w:sz w:val="20"/>
      <w:szCs w:val="20"/>
    </w:rPr>
  </w:style>
  <w:style w:type="paragraph" w:customStyle="1" w:styleId="51">
    <w:name w:val="图表内容"/>
    <w:basedOn w:val="24"/>
    <w:qFormat/>
    <w:uiPriority w:val="0"/>
    <w:pPr>
      <w:spacing w:line="240" w:lineRule="auto"/>
      <w:ind w:left="0" w:leftChars="0"/>
      <w:jc w:val="center"/>
    </w:pPr>
    <w:rPr>
      <w:szCs w:val="21"/>
    </w:rPr>
  </w:style>
  <w:style w:type="paragraph" w:customStyle="1" w:styleId="52">
    <w:name w:val="修订1"/>
    <w:semiHidden/>
    <w:qFormat/>
    <w:uiPriority w:val="99"/>
    <w:rPr>
      <w:rFonts w:ascii="Calibri" w:hAnsi="Calibri" w:eastAsia="宋体" w:cs="Times New Roman"/>
      <w:kern w:val="2"/>
      <w:sz w:val="21"/>
      <w:szCs w:val="24"/>
      <w:lang w:val="en-US" w:eastAsia="zh-CN" w:bidi="ar-SA"/>
    </w:rPr>
  </w:style>
  <w:style w:type="paragraph" w:customStyle="1" w:styleId="53">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样式 标题 3h3H3sect1.2.3 + 五号 段前: 6 磅 段后: 6 磅 行距: 单倍行距"/>
    <w:basedOn w:val="5"/>
    <w:qFormat/>
    <w:uiPriority w:val="0"/>
    <w:pPr>
      <w:keepLines/>
      <w:tabs>
        <w:tab w:val="left" w:pos="1260"/>
      </w:tabs>
      <w:adjustRightInd w:val="0"/>
      <w:spacing w:before="120" w:after="120"/>
      <w:ind w:left="1260" w:hanging="420"/>
      <w:jc w:val="left"/>
      <w:textAlignment w:val="baseline"/>
    </w:pPr>
    <w:rPr>
      <w:rFonts w:ascii="Times New Roman" w:hAnsi="Times New Roman" w:eastAsia="宋体"/>
      <w:bCs w:val="0"/>
      <w:sz w:val="21"/>
      <w:szCs w:val="20"/>
    </w:rPr>
  </w:style>
  <w:style w:type="paragraph" w:customStyle="1" w:styleId="5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Char Char Char Char Char Char Char"/>
    <w:basedOn w:val="1"/>
    <w:qFormat/>
    <w:uiPriority w:val="0"/>
    <w:rPr>
      <w:rFonts w:ascii="Tahoma" w:hAnsi="Tahoma" w:cs="Tahoma"/>
      <w:sz w:val="30"/>
      <w:szCs w:val="30"/>
    </w:rPr>
  </w:style>
  <w:style w:type="paragraph" w:customStyle="1" w:styleId="59">
    <w:name w:val="样式 标题 2 + 宋体 五号 非加粗 黑色"/>
    <w:basedOn w:val="4"/>
    <w:qFormat/>
    <w:uiPriority w:val="0"/>
    <w:pPr>
      <w:tabs>
        <w:tab w:val="left" w:pos="840"/>
      </w:tabs>
      <w:adjustRightInd w:val="0"/>
      <w:spacing w:line="416" w:lineRule="atLeast"/>
      <w:ind w:left="840" w:hanging="420"/>
      <w:jc w:val="left"/>
      <w:textAlignment w:val="baseline"/>
    </w:pPr>
    <w:rPr>
      <w:rFonts w:ascii="宋体" w:hAnsi="宋体" w:eastAsia="宋体"/>
      <w:b w:val="0"/>
      <w:bCs w:val="0"/>
      <w:color w:val="000000"/>
      <w:sz w:val="21"/>
      <w:szCs w:val="20"/>
    </w:rPr>
  </w:style>
  <w:style w:type="paragraph" w:customStyle="1" w:styleId="60">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61">
    <w:name w:val="_Style 3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列出段落2"/>
    <w:basedOn w:val="1"/>
    <w:qFormat/>
    <w:uiPriority w:val="34"/>
    <w:pPr>
      <w:ind w:firstLine="420" w:firstLineChars="200"/>
    </w:pPr>
  </w:style>
  <w:style w:type="paragraph" w:customStyle="1" w:styleId="63">
    <w:name w:val="索引 11"/>
    <w:basedOn w:val="1"/>
    <w:next w:val="1"/>
    <w:qFormat/>
    <w:uiPriority w:val="0"/>
    <w:rPr>
      <w:color w:val="000000"/>
      <w:szCs w:val="22"/>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1"/>
    <w:basedOn w:val="1"/>
    <w:qFormat/>
    <w:uiPriority w:val="0"/>
    <w:pPr>
      <w:widowControl/>
      <w:spacing w:after="160" w:line="240" w:lineRule="exact"/>
      <w:jc w:val="left"/>
    </w:pPr>
    <w:rPr>
      <w:sz w:val="24"/>
    </w:rPr>
  </w:style>
  <w:style w:type="paragraph" w:customStyle="1" w:styleId="66">
    <w:name w:val="样式4"/>
    <w:basedOn w:val="1"/>
    <w:qFormat/>
    <w:uiPriority w:val="0"/>
    <w:pPr>
      <w:tabs>
        <w:tab w:val="left" w:pos="2328"/>
      </w:tabs>
      <w:ind w:left="2328" w:hanging="708"/>
    </w:pPr>
  </w:style>
  <w:style w:type="paragraph" w:customStyle="1" w:styleId="67">
    <w:name w:val="建议书"/>
    <w:basedOn w:val="1"/>
    <w:next w:val="1"/>
    <w:link w:val="110"/>
    <w:qFormat/>
    <w:uiPriority w:val="0"/>
    <w:pPr>
      <w:spacing w:line="360" w:lineRule="auto"/>
      <w:ind w:firstLine="880" w:firstLineChars="200"/>
    </w:pPr>
    <w:rPr>
      <w:rFonts w:cs="黑体"/>
      <w:kern w:val="0"/>
      <w:sz w:val="24"/>
    </w:rPr>
  </w:style>
  <w:style w:type="paragraph" w:customStyle="1" w:styleId="6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6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72">
    <w:name w:val="Char2"/>
    <w:basedOn w:val="1"/>
    <w:qFormat/>
    <w:uiPriority w:val="0"/>
    <w:pPr>
      <w:widowControl/>
      <w:spacing w:after="160" w:line="240" w:lineRule="exact"/>
      <w:jc w:val="left"/>
    </w:pPr>
    <w:rPr>
      <w:szCs w:val="20"/>
    </w:rPr>
  </w:style>
  <w:style w:type="paragraph" w:customStyle="1" w:styleId="73">
    <w:name w:val="Char Char2 Char"/>
    <w:basedOn w:val="1"/>
    <w:qFormat/>
    <w:uiPriority w:val="0"/>
    <w:rPr>
      <w:rFonts w:ascii="宋体" w:hAnsi="宋体"/>
      <w:b/>
      <w:sz w:val="28"/>
      <w:szCs w:val="28"/>
    </w:rPr>
  </w:style>
  <w:style w:type="paragraph" w:customStyle="1" w:styleId="7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默认段落字体 Para Char Char Char Char"/>
    <w:basedOn w:val="1"/>
    <w:qFormat/>
    <w:uiPriority w:val="0"/>
    <w:rPr>
      <w:szCs w:val="20"/>
    </w:rPr>
  </w:style>
  <w:style w:type="paragraph" w:customStyle="1" w:styleId="77">
    <w:name w:val="_Style 73"/>
    <w:basedOn w:val="1"/>
    <w:qFormat/>
    <w:uiPriority w:val="34"/>
    <w:pPr>
      <w:ind w:firstLine="420" w:firstLineChars="200"/>
    </w:pPr>
  </w:style>
  <w:style w:type="paragraph" w:customStyle="1" w:styleId="78">
    <w:name w:val="列表段落1"/>
    <w:basedOn w:val="17"/>
    <w:next w:val="38"/>
    <w:qFormat/>
    <w:uiPriority w:val="34"/>
    <w:pPr>
      <w:ind w:firstLine="420" w:firstLineChars="200"/>
    </w:p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80">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81">
    <w:name w:val="列出段落1"/>
    <w:basedOn w:val="1"/>
    <w:qFormat/>
    <w:uiPriority w:val="34"/>
    <w:pPr>
      <w:ind w:firstLine="420" w:firstLineChars="200"/>
    </w:pPr>
  </w:style>
  <w:style w:type="paragraph" w:customStyle="1" w:styleId="82">
    <w:name w:val="样式 标题 4 + 段前: 5 磅 段后: 5 磅 行距: 单倍行距"/>
    <w:basedOn w:val="6"/>
    <w:qFormat/>
    <w:uiPriority w:val="0"/>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83">
    <w:name w:val="默认段落字体 Para Char"/>
    <w:basedOn w:val="1"/>
    <w:qFormat/>
    <w:uiPriority w:val="0"/>
  </w:style>
  <w:style w:type="paragraph" w:customStyle="1" w:styleId="8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5">
    <w:name w:val="3 Char"/>
    <w:basedOn w:val="1"/>
    <w:qFormat/>
    <w:uiPriority w:val="0"/>
    <w:pPr>
      <w:widowControl/>
      <w:spacing w:line="400" w:lineRule="exact"/>
      <w:jc w:val="center"/>
    </w:pPr>
    <w:rPr>
      <w:rFonts w:ascii="Verdana" w:hAnsi="Verdana"/>
      <w:kern w:val="0"/>
      <w:szCs w:val="20"/>
      <w:lang w:eastAsia="en-US"/>
    </w:rPr>
  </w:style>
  <w:style w:type="paragraph" w:customStyle="1" w:styleId="86">
    <w:name w:val="题注5"/>
    <w:basedOn w:val="1"/>
    <w:next w:val="13"/>
    <w:qFormat/>
    <w:uiPriority w:val="0"/>
    <w:pPr>
      <w:jc w:val="center"/>
    </w:pPr>
    <w:rPr>
      <w:rFonts w:ascii="Times New Roman"/>
      <w:b/>
      <w:color w:val="000000"/>
      <w:szCs w:val="21"/>
    </w:rPr>
  </w:style>
  <w:style w:type="paragraph" w:customStyle="1" w:styleId="87">
    <w:name w:val="Table Paragraph"/>
    <w:basedOn w:val="1"/>
    <w:qFormat/>
    <w:uiPriority w:val="1"/>
    <w:pPr>
      <w:spacing w:before="124" w:line="360" w:lineRule="auto"/>
      <w:jc w:val="center"/>
    </w:pPr>
    <w:rPr>
      <w:rFonts w:ascii="宋体" w:hAnsi="宋体" w:cs="宋体"/>
      <w:kern w:val="0"/>
      <w:sz w:val="22"/>
      <w:szCs w:val="22"/>
      <w:lang w:eastAsia="en-US"/>
    </w:rPr>
  </w:style>
  <w:style w:type="paragraph" w:customStyle="1" w:styleId="88">
    <w:name w:val="TOC 标题1"/>
    <w:basedOn w:val="3"/>
    <w:next w:val="1"/>
    <w:qFormat/>
    <w:uiPriority w:val="39"/>
    <w:pPr>
      <w:keepLines/>
      <w:spacing w:before="480" w:line="276" w:lineRule="auto"/>
      <w:outlineLvl w:val="9"/>
    </w:pPr>
    <w:rPr>
      <w:rFonts w:ascii="Cambria" w:hAnsi="Cambria"/>
      <w:color w:val="365F91"/>
      <w:sz w:val="28"/>
      <w:szCs w:val="28"/>
    </w:rPr>
  </w:style>
  <w:style w:type="paragraph" w:customStyle="1" w:styleId="8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0">
    <w:name w:val="msolistparagraph"/>
    <w:basedOn w:val="1"/>
    <w:qFormat/>
    <w:uiPriority w:val="0"/>
    <w:pPr>
      <w:ind w:firstLine="420" w:firstLineChars="200"/>
    </w:pPr>
    <w:rPr>
      <w:rFonts w:hint="eastAsia" w:ascii="等线" w:hAnsi="等线" w:eastAsia="等线"/>
      <w:szCs w:val="22"/>
    </w:rPr>
  </w:style>
  <w:style w:type="paragraph" w:customStyle="1" w:styleId="9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92">
    <w:name w:val="表格"/>
    <w:basedOn w:val="1"/>
    <w:qFormat/>
    <w:uiPriority w:val="0"/>
    <w:pPr>
      <w:spacing w:line="420" w:lineRule="exact"/>
      <w:ind w:left="84" w:leftChars="40"/>
      <w:jc w:val="center"/>
    </w:pPr>
    <w:rPr>
      <w:rFonts w:ascii="宋体" w:hAnsi="宋体"/>
      <w:bCs/>
      <w:spacing w:val="-12"/>
    </w:rPr>
  </w:style>
  <w:style w:type="paragraph" w:customStyle="1" w:styleId="93">
    <w:name w:val="Char1 Char Char Char"/>
    <w:basedOn w:val="1"/>
    <w:qFormat/>
    <w:uiPriority w:val="0"/>
    <w:rPr>
      <w:szCs w:val="20"/>
    </w:rPr>
  </w:style>
  <w:style w:type="paragraph" w:customStyle="1" w:styleId="94">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paragraph" w:customStyle="1" w:styleId="95">
    <w:name w:val="列出段落11"/>
    <w:basedOn w:val="1"/>
    <w:qFormat/>
    <w:uiPriority w:val="34"/>
    <w:pPr>
      <w:ind w:firstLine="420" w:firstLineChars="200"/>
    </w:pPr>
  </w:style>
  <w:style w:type="paragraph" w:customStyle="1" w:styleId="96">
    <w:name w:val="Char Char Char"/>
    <w:basedOn w:val="1"/>
    <w:qFormat/>
    <w:uiPriority w:val="0"/>
    <w:rPr>
      <w:rFonts w:ascii="宋体" w:hAnsi="宋体"/>
      <w:b/>
      <w:sz w:val="28"/>
      <w:szCs w:val="28"/>
    </w:rPr>
  </w:style>
  <w:style w:type="character" w:customStyle="1" w:styleId="97">
    <w:name w:val="页脚 Char"/>
    <w:link w:val="27"/>
    <w:qFormat/>
    <w:uiPriority w:val="0"/>
    <w:rPr>
      <w:sz w:val="18"/>
      <w:szCs w:val="18"/>
    </w:rPr>
  </w:style>
  <w:style w:type="character" w:customStyle="1" w:styleId="98">
    <w:name w:val="纯文本 Char1"/>
    <w:qFormat/>
    <w:uiPriority w:val="0"/>
    <w:rPr>
      <w:rFonts w:ascii="宋体" w:hAnsi="Courier New" w:eastAsia="宋体" w:cs="Courier New"/>
      <w:szCs w:val="21"/>
    </w:rPr>
  </w:style>
  <w:style w:type="character" w:customStyle="1" w:styleId="99">
    <w:name w:val="p141"/>
    <w:qFormat/>
    <w:uiPriority w:val="0"/>
    <w:rPr>
      <w:sz w:val="21"/>
      <w:szCs w:val="21"/>
    </w:rPr>
  </w:style>
  <w:style w:type="character" w:customStyle="1" w:styleId="100">
    <w:name w:val="标题 5 Char"/>
    <w:link w:val="7"/>
    <w:qFormat/>
    <w:uiPriority w:val="0"/>
    <w:rPr>
      <w:rFonts w:ascii="Times New Roman" w:hAnsi="Times New Roman" w:eastAsia="宋体" w:cs="Times New Roman"/>
      <w:b/>
      <w:bCs/>
      <w:kern w:val="0"/>
      <w:sz w:val="28"/>
      <w:szCs w:val="28"/>
    </w:rPr>
  </w:style>
  <w:style w:type="character" w:customStyle="1" w:styleId="101">
    <w:name w:val="纯文本 字符1"/>
    <w:qFormat/>
    <w:uiPriority w:val="0"/>
    <w:rPr>
      <w:rFonts w:ascii="宋体" w:hAnsi="Courier New" w:cs="Courier New"/>
      <w:szCs w:val="21"/>
    </w:rPr>
  </w:style>
  <w:style w:type="character" w:customStyle="1" w:styleId="102">
    <w:name w:val="页眉 Char"/>
    <w:link w:val="28"/>
    <w:qFormat/>
    <w:uiPriority w:val="0"/>
    <w:rPr>
      <w:sz w:val="18"/>
      <w:szCs w:val="18"/>
    </w:rPr>
  </w:style>
  <w:style w:type="character" w:customStyle="1" w:styleId="103">
    <w:name w:val="批注文字 Char2"/>
    <w:link w:val="15"/>
    <w:qFormat/>
    <w:uiPriority w:val="0"/>
    <w:rPr>
      <w:szCs w:val="24"/>
    </w:rPr>
  </w:style>
  <w:style w:type="character" w:customStyle="1" w:styleId="104">
    <w:name w:val="正文文本缩进 2 Char"/>
    <w:link w:val="24"/>
    <w:qFormat/>
    <w:uiPriority w:val="0"/>
    <w:rPr>
      <w:rFonts w:ascii="Times New Roman" w:hAnsi="Times New Roman" w:eastAsia="宋体" w:cs="Times New Roman"/>
      <w:sz w:val="24"/>
      <w:szCs w:val="24"/>
    </w:rPr>
  </w:style>
  <w:style w:type="character" w:customStyle="1" w:styleId="105">
    <w:name w:val="正文文本 Char"/>
    <w:link w:val="17"/>
    <w:qFormat/>
    <w:uiPriority w:val="0"/>
    <w:rPr>
      <w:rFonts w:ascii="Times New Roman" w:hAnsi="Times New Roman" w:eastAsia="宋体" w:cs="Times New Roman"/>
      <w:szCs w:val="24"/>
    </w:rPr>
  </w:style>
  <w:style w:type="character" w:customStyle="1" w:styleId="106">
    <w:name w:val="批注框文本 Char"/>
    <w:link w:val="26"/>
    <w:qFormat/>
    <w:uiPriority w:val="0"/>
    <w:rPr>
      <w:rFonts w:ascii="Times New Roman" w:hAnsi="Times New Roman" w:eastAsia="宋体" w:cs="Times New Roman"/>
      <w:kern w:val="2"/>
      <w:sz w:val="18"/>
      <w:szCs w:val="18"/>
    </w:rPr>
  </w:style>
  <w:style w:type="character" w:customStyle="1" w:styleId="107">
    <w:name w:val="页脚 字符"/>
    <w:qFormat/>
    <w:uiPriority w:val="99"/>
    <w:rPr>
      <w:rFonts w:ascii="Times New Roman" w:hAnsi="Times New Roman" w:eastAsia="宋体" w:cs="Times New Roman"/>
      <w:sz w:val="18"/>
      <w:szCs w:val="18"/>
    </w:rPr>
  </w:style>
  <w:style w:type="character" w:customStyle="1" w:styleId="108">
    <w:name w:val="标题 7 Char"/>
    <w:link w:val="9"/>
    <w:qFormat/>
    <w:uiPriority w:val="0"/>
    <w:rPr>
      <w:rFonts w:ascii="Times New Roman" w:hAnsi="Times New Roman" w:eastAsia="宋体" w:cs="Times New Roman"/>
      <w:b/>
      <w:bCs/>
      <w:kern w:val="0"/>
      <w:sz w:val="24"/>
      <w:szCs w:val="24"/>
    </w:rPr>
  </w:style>
  <w:style w:type="character" w:customStyle="1" w:styleId="109">
    <w:name w:val="HTML 预设格式 Char"/>
    <w:link w:val="35"/>
    <w:qFormat/>
    <w:uiPriority w:val="0"/>
    <w:rPr>
      <w:rFonts w:ascii="黑体" w:hAnsi="Courier New" w:eastAsia="黑体" w:cs="Courier New"/>
      <w:kern w:val="0"/>
      <w:sz w:val="20"/>
      <w:szCs w:val="20"/>
    </w:rPr>
  </w:style>
  <w:style w:type="character" w:customStyle="1" w:styleId="110">
    <w:name w:val="建议书 Char"/>
    <w:link w:val="67"/>
    <w:qFormat/>
    <w:uiPriority w:val="0"/>
    <w:rPr>
      <w:rFonts w:cs="黑体"/>
      <w:sz w:val="24"/>
      <w:szCs w:val="24"/>
    </w:rPr>
  </w:style>
  <w:style w:type="character" w:customStyle="1" w:styleId="111">
    <w:name w:val="标题 2 Char"/>
    <w:link w:val="4"/>
    <w:qFormat/>
    <w:uiPriority w:val="0"/>
    <w:rPr>
      <w:rFonts w:ascii="Arial" w:hAnsi="Arial" w:eastAsia="黑体" w:cs="Times New Roman"/>
      <w:b/>
      <w:bCs/>
      <w:sz w:val="32"/>
      <w:szCs w:val="32"/>
    </w:rPr>
  </w:style>
  <w:style w:type="character" w:customStyle="1" w:styleId="112">
    <w:name w:val="批注主题 Char"/>
    <w:link w:val="37"/>
    <w:semiHidden/>
    <w:qFormat/>
    <w:uiPriority w:val="0"/>
    <w:rPr>
      <w:rFonts w:ascii="Times New Roman" w:hAnsi="Times New Roman" w:eastAsia="宋体" w:cs="Times New Roman"/>
      <w:b/>
      <w:bCs/>
      <w:szCs w:val="24"/>
    </w:rPr>
  </w:style>
  <w:style w:type="character" w:customStyle="1" w:styleId="113">
    <w:name w:val="标题 3 Char"/>
    <w:link w:val="5"/>
    <w:qFormat/>
    <w:uiPriority w:val="0"/>
    <w:rPr>
      <w:rFonts w:ascii="楷体_GB2312" w:hAnsi="宋体" w:eastAsia="楷体_GB2312" w:cs="Times New Roman"/>
      <w:b/>
      <w:bCs/>
      <w:sz w:val="32"/>
      <w:szCs w:val="24"/>
    </w:rPr>
  </w:style>
  <w:style w:type="character" w:customStyle="1" w:styleId="114">
    <w:name w:val="s10pv000000"/>
    <w:basedOn w:val="42"/>
    <w:qFormat/>
    <w:uiPriority w:val="0"/>
  </w:style>
  <w:style w:type="character" w:customStyle="1" w:styleId="115">
    <w:name w:val="未处理的提及1"/>
    <w:unhideWhenUsed/>
    <w:qFormat/>
    <w:uiPriority w:val="99"/>
    <w:rPr>
      <w:color w:val="808080"/>
      <w:shd w:val="clear" w:color="auto" w:fill="E6E6E6"/>
    </w:rPr>
  </w:style>
  <w:style w:type="character" w:customStyle="1" w:styleId="116">
    <w:name w:val="批注文字 字符1"/>
    <w:qFormat/>
    <w:uiPriority w:val="0"/>
    <w:rPr>
      <w:rFonts w:ascii="Times New Roman" w:hAnsi="Times New Roman" w:eastAsia="宋体" w:cs="Times New Roman"/>
      <w:kern w:val="0"/>
      <w:szCs w:val="20"/>
    </w:rPr>
  </w:style>
  <w:style w:type="character" w:customStyle="1" w:styleId="117">
    <w:name w:val="标题 9 Char"/>
    <w:link w:val="11"/>
    <w:qFormat/>
    <w:uiPriority w:val="0"/>
    <w:rPr>
      <w:rFonts w:ascii="Arial" w:hAnsi="Arial" w:eastAsia="黑体" w:cs="Times New Roman"/>
      <w:kern w:val="0"/>
      <w:szCs w:val="21"/>
    </w:rPr>
  </w:style>
  <w:style w:type="character" w:customStyle="1" w:styleId="118">
    <w:name w:val="文档结构图 Char"/>
    <w:link w:val="14"/>
    <w:qFormat/>
    <w:uiPriority w:val="0"/>
    <w:rPr>
      <w:rFonts w:ascii="Times New Roman" w:hAnsi="Times New Roman" w:eastAsia="宋体" w:cs="Times New Roman"/>
      <w:szCs w:val="20"/>
      <w:shd w:val="clear" w:color="auto" w:fill="000080"/>
    </w:rPr>
  </w:style>
  <w:style w:type="character" w:customStyle="1" w:styleId="119">
    <w:name w:val="正文文本 3 Char"/>
    <w:link w:val="16"/>
    <w:qFormat/>
    <w:uiPriority w:val="0"/>
    <w:rPr>
      <w:rFonts w:ascii="Times New Roman" w:hAnsi="Times New Roman" w:eastAsia="宋体" w:cs="Times New Roman"/>
      <w:sz w:val="16"/>
      <w:szCs w:val="16"/>
    </w:rPr>
  </w:style>
  <w:style w:type="character" w:customStyle="1" w:styleId="120">
    <w:name w:val="正文文本缩进 Char"/>
    <w:link w:val="18"/>
    <w:qFormat/>
    <w:uiPriority w:val="0"/>
    <w:rPr>
      <w:rFonts w:ascii="Times New Roman" w:hAnsi="Times New Roman" w:eastAsia="宋体" w:cs="Times New Roman"/>
      <w:sz w:val="24"/>
      <w:szCs w:val="24"/>
    </w:rPr>
  </w:style>
  <w:style w:type="character" w:customStyle="1" w:styleId="121">
    <w:name w:val="批注文字 Char1"/>
    <w:semiHidden/>
    <w:qFormat/>
    <w:uiPriority w:val="99"/>
    <w:rPr>
      <w:rFonts w:ascii="Times New Roman" w:hAnsi="Times New Roman" w:eastAsia="宋体" w:cs="Times New Roman"/>
      <w:szCs w:val="24"/>
    </w:rPr>
  </w:style>
  <w:style w:type="character" w:customStyle="1" w:styleId="122">
    <w:name w:val="正文文本缩进 3 Char"/>
    <w:link w:val="32"/>
    <w:qFormat/>
    <w:uiPriority w:val="0"/>
    <w:rPr>
      <w:rFonts w:ascii="Times New Roman" w:hAnsi="Times New Roman" w:eastAsia="宋体" w:cs="Times New Roman"/>
      <w:sz w:val="16"/>
      <w:szCs w:val="16"/>
    </w:rPr>
  </w:style>
  <w:style w:type="character" w:customStyle="1" w:styleId="123">
    <w:name w:val="标题 1 Char"/>
    <w:link w:val="3"/>
    <w:qFormat/>
    <w:uiPriority w:val="0"/>
    <w:rPr>
      <w:rFonts w:ascii="Times New Roman" w:hAnsi="Times New Roman" w:eastAsia="宋体" w:cs="Times New Roman"/>
      <w:b/>
      <w:bCs/>
      <w:kern w:val="0"/>
      <w:sz w:val="24"/>
      <w:szCs w:val="24"/>
    </w:rPr>
  </w:style>
  <w:style w:type="character" w:customStyle="1" w:styleId="124">
    <w:name w:val="正文首行缩进 2 Char"/>
    <w:link w:val="39"/>
    <w:qFormat/>
    <w:uiPriority w:val="0"/>
    <w:rPr>
      <w:rFonts w:ascii="等线" w:hAnsi="等线" w:eastAsia="等线" w:cs="Times New Roman"/>
      <w:kern w:val="2"/>
      <w:sz w:val="24"/>
      <w:szCs w:val="22"/>
    </w:rPr>
  </w:style>
  <w:style w:type="character" w:customStyle="1" w:styleId="125">
    <w:name w:val="正文缩进 Char"/>
    <w:link w:val="2"/>
    <w:qFormat/>
    <w:uiPriority w:val="0"/>
    <w:rPr>
      <w:rFonts w:ascii="Times New Roman" w:hAnsi="Times New Roman" w:eastAsia="宋体" w:cs="Times New Roman"/>
      <w:szCs w:val="21"/>
    </w:rPr>
  </w:style>
  <w:style w:type="character" w:customStyle="1" w:styleId="126">
    <w:name w:val="页眉 字符"/>
    <w:qFormat/>
    <w:uiPriority w:val="99"/>
    <w:rPr>
      <w:rFonts w:ascii="Times New Roman" w:hAnsi="Times New Roman" w:eastAsia="宋体" w:cs="Times New Roman"/>
      <w:sz w:val="18"/>
      <w:szCs w:val="18"/>
    </w:rPr>
  </w:style>
  <w:style w:type="character" w:customStyle="1" w:styleId="127">
    <w:name w:val="标题 8 Char"/>
    <w:link w:val="10"/>
    <w:qFormat/>
    <w:uiPriority w:val="0"/>
    <w:rPr>
      <w:rFonts w:ascii="Arial" w:hAnsi="Arial" w:eastAsia="黑体" w:cs="Times New Roman"/>
      <w:kern w:val="0"/>
      <w:sz w:val="24"/>
      <w:szCs w:val="24"/>
    </w:rPr>
  </w:style>
  <w:style w:type="character" w:customStyle="1" w:styleId="128">
    <w:name w:val="批注文字 Char"/>
    <w:qFormat/>
    <w:uiPriority w:val="0"/>
    <w:rPr>
      <w:kern w:val="2"/>
      <w:sz w:val="21"/>
      <w:szCs w:val="24"/>
    </w:rPr>
  </w:style>
  <w:style w:type="character" w:customStyle="1" w:styleId="129">
    <w:name w:val="标题 4 Char"/>
    <w:link w:val="6"/>
    <w:qFormat/>
    <w:uiPriority w:val="0"/>
    <w:rPr>
      <w:rFonts w:ascii="Arial" w:hAnsi="Arial" w:eastAsia="黑体" w:cs="Times New Roman"/>
      <w:b/>
      <w:bCs/>
      <w:kern w:val="0"/>
      <w:sz w:val="28"/>
      <w:szCs w:val="28"/>
    </w:rPr>
  </w:style>
  <w:style w:type="character" w:customStyle="1" w:styleId="130">
    <w:name w:val="明显参考1"/>
    <w:qFormat/>
    <w:uiPriority w:val="32"/>
    <w:rPr>
      <w:b/>
      <w:bCs/>
      <w:smallCaps/>
      <w:color w:val="C0504D"/>
      <w:spacing w:val="5"/>
      <w:u w:val="single"/>
    </w:rPr>
  </w:style>
  <w:style w:type="character" w:customStyle="1" w:styleId="131">
    <w:name w:val="日期 Char"/>
    <w:link w:val="23"/>
    <w:qFormat/>
    <w:uiPriority w:val="0"/>
    <w:rPr>
      <w:rFonts w:ascii="宋体" w:hAnsi="Times New Roman" w:eastAsia="宋体" w:cs="Times New Roman"/>
      <w:kern w:val="0"/>
      <w:szCs w:val="20"/>
    </w:rPr>
  </w:style>
  <w:style w:type="character" w:customStyle="1" w:styleId="132">
    <w:name w:val="纯文本 Char"/>
    <w:link w:val="21"/>
    <w:qFormat/>
    <w:uiPriority w:val="0"/>
    <w:rPr>
      <w:rFonts w:ascii="宋体" w:hAnsi="Courier New" w:cs="Courier New"/>
      <w:szCs w:val="21"/>
    </w:rPr>
  </w:style>
  <w:style w:type="character" w:customStyle="1" w:styleId="133">
    <w:name w:val="f141"/>
    <w:qFormat/>
    <w:uiPriority w:val="0"/>
    <w:rPr>
      <w:sz w:val="21"/>
      <w:szCs w:val="21"/>
    </w:rPr>
  </w:style>
  <w:style w:type="character" w:customStyle="1" w:styleId="134">
    <w:name w:val="标题 6 Char"/>
    <w:link w:val="8"/>
    <w:qFormat/>
    <w:uiPriority w:val="0"/>
    <w:rPr>
      <w:rFonts w:ascii="Arial" w:hAnsi="Arial" w:eastAsia="黑体" w:cs="Times New Roman"/>
      <w:b/>
      <w:bCs/>
      <w:kern w:val="0"/>
      <w:sz w:val="24"/>
      <w:szCs w:val="24"/>
    </w:rPr>
  </w:style>
  <w:style w:type="character" w:customStyle="1" w:styleId="135">
    <w:name w:val="未处理的提及2"/>
    <w:unhideWhenUsed/>
    <w:qFormat/>
    <w:uiPriority w:val="99"/>
    <w:rPr>
      <w:color w:val="808080"/>
      <w:shd w:val="clear" w:color="auto" w:fill="E6E6E6"/>
    </w:rPr>
  </w:style>
  <w:style w:type="paragraph" w:customStyle="1" w:styleId="136">
    <w:name w:val="采购文件1.1"/>
    <w:basedOn w:val="21"/>
    <w:qFormat/>
    <w:uiPriority w:val="0"/>
    <w:pPr>
      <w:numPr>
        <w:ilvl w:val="1"/>
        <w:numId w:val="1"/>
      </w:numPr>
      <w:spacing w:before="20" w:after="120" w:line="400" w:lineRule="exact"/>
      <w:ind w:left="360" w:hanging="360" w:hangingChars="200"/>
      <w:jc w:val="left"/>
    </w:pPr>
    <w:rPr>
      <w:rFonts w:hint="eastAsia" w:hAnsi="宋体" w:eastAsia="仿宋_GB2312"/>
      <w:kern w:val="2"/>
      <w:sz w:val="24"/>
    </w:rPr>
  </w:style>
  <w:style w:type="character" w:customStyle="1" w:styleId="137">
    <w:name w:val="列出段落 Char"/>
    <w:basedOn w:val="42"/>
    <w:qFormat/>
    <w:uiPriority w:val="0"/>
    <w:rPr>
      <w:kern w:val="2"/>
      <w:sz w:val="21"/>
      <w:szCs w:val="24"/>
    </w:rPr>
  </w:style>
  <w:style w:type="character" w:customStyle="1" w:styleId="138">
    <w:name w:val="prev2"/>
    <w:basedOn w:val="42"/>
    <w:qFormat/>
    <w:uiPriority w:val="0"/>
    <w:rPr>
      <w:rFonts w:ascii="微软雅黑" w:hAnsi="微软雅黑" w:eastAsia="微软雅黑" w:cs="微软雅黑"/>
      <w:sz w:val="21"/>
      <w:szCs w:val="21"/>
    </w:rPr>
  </w:style>
  <w:style w:type="character" w:customStyle="1" w:styleId="139">
    <w:name w:val="gjfg"/>
    <w:basedOn w:val="42"/>
    <w:qFormat/>
    <w:uiPriority w:val="0"/>
  </w:style>
  <w:style w:type="character" w:customStyle="1" w:styleId="140">
    <w:name w:val="displayarti"/>
    <w:basedOn w:val="42"/>
    <w:qFormat/>
    <w:uiPriority w:val="0"/>
    <w:rPr>
      <w:color w:val="FFFFFF"/>
      <w:shd w:val="clear" w:color="auto" w:fill="A00000"/>
    </w:rPr>
  </w:style>
  <w:style w:type="character" w:customStyle="1" w:styleId="141">
    <w:name w:val="cfdate"/>
    <w:basedOn w:val="42"/>
    <w:qFormat/>
    <w:uiPriority w:val="0"/>
    <w:rPr>
      <w:color w:val="333333"/>
      <w:sz w:val="18"/>
      <w:szCs w:val="18"/>
    </w:rPr>
  </w:style>
  <w:style w:type="character" w:customStyle="1" w:styleId="142">
    <w:name w:val="qxdate"/>
    <w:basedOn w:val="42"/>
    <w:qFormat/>
    <w:uiPriority w:val="0"/>
    <w:rPr>
      <w:color w:val="333333"/>
      <w:sz w:val="18"/>
      <w:szCs w:val="18"/>
    </w:rPr>
  </w:style>
  <w:style w:type="character" w:customStyle="1" w:styleId="143">
    <w:name w:val="redfilefwwh"/>
    <w:basedOn w:val="42"/>
    <w:qFormat/>
    <w:uiPriority w:val="0"/>
    <w:rPr>
      <w:color w:val="BA2636"/>
      <w:sz w:val="18"/>
      <w:szCs w:val="18"/>
    </w:rPr>
  </w:style>
  <w:style w:type="character" w:customStyle="1" w:styleId="144">
    <w:name w:val="redfilenumber"/>
    <w:basedOn w:val="42"/>
    <w:qFormat/>
    <w:uiPriority w:val="0"/>
    <w:rPr>
      <w:color w:val="BA2636"/>
      <w:sz w:val="18"/>
      <w:szCs w:val="18"/>
    </w:rPr>
  </w:style>
  <w:style w:type="character" w:customStyle="1" w:styleId="145">
    <w:name w:val="next"/>
    <w:basedOn w:val="42"/>
    <w:qFormat/>
    <w:uiPriority w:val="0"/>
    <w:rPr>
      <w:rFonts w:hint="eastAsia" w:ascii="微软雅黑" w:hAnsi="微软雅黑" w:eastAsia="微软雅黑" w:cs="微软雅黑"/>
      <w:sz w:val="21"/>
      <w:szCs w:val="21"/>
    </w:rPr>
  </w:style>
  <w:style w:type="character" w:customStyle="1" w:styleId="146">
    <w:name w:val="next1"/>
    <w:basedOn w:val="42"/>
    <w:qFormat/>
    <w:uiPriority w:val="0"/>
    <w:rPr>
      <w:color w:val="888888"/>
    </w:rPr>
  </w:style>
  <w:style w:type="character" w:customStyle="1" w:styleId="147">
    <w:name w:val="prev"/>
    <w:basedOn w:val="42"/>
    <w:qFormat/>
    <w:uiPriority w:val="0"/>
    <w:rPr>
      <w:rFonts w:ascii="微软雅黑" w:hAnsi="微软雅黑" w:eastAsia="微软雅黑" w:cs="微软雅黑"/>
      <w:sz w:val="21"/>
      <w:szCs w:val="21"/>
    </w:rPr>
  </w:style>
  <w:style w:type="paragraph" w:customStyle="1" w:styleId="148">
    <w:name w:val="_Style 2"/>
    <w:basedOn w:val="1"/>
    <w:qFormat/>
    <w:uiPriority w:val="0"/>
    <w:pPr>
      <w:ind w:firstLine="420" w:firstLineChars="200"/>
    </w:pPr>
  </w:style>
  <w:style w:type="paragraph" w:customStyle="1" w:styleId="149">
    <w:name w:val="_Style 3"/>
    <w:basedOn w:val="1"/>
    <w:qFormat/>
    <w:uiPriority w:val="0"/>
    <w:pPr>
      <w:ind w:firstLine="420" w:firstLineChars="200"/>
    </w:pPr>
  </w:style>
  <w:style w:type="paragraph" w:customStyle="1" w:styleId="150">
    <w:name w:val="表格文字"/>
    <w:basedOn w:val="1"/>
    <w:qFormat/>
    <w:uiPriority w:val="0"/>
    <w:pPr>
      <w:spacing w:before="25" w:after="25"/>
    </w:pPr>
    <w:rPr>
      <w:bCs/>
      <w:spacing w:val="10"/>
      <w:sz w:val="24"/>
    </w:rPr>
  </w:style>
  <w:style w:type="paragraph" w:customStyle="1" w:styleId="151">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customStyle="1" w:styleId="152">
    <w:name w:val="font21"/>
    <w:basedOn w:val="42"/>
    <w:qFormat/>
    <w:uiPriority w:val="0"/>
    <w:rPr>
      <w:rFonts w:hint="default" w:ascii="Times New Roman" w:hAnsi="Times New Roman" w:cs="Times New Roman"/>
      <w:color w:val="000000"/>
      <w:sz w:val="22"/>
      <w:szCs w:val="22"/>
      <w:u w:val="none"/>
    </w:rPr>
  </w:style>
  <w:style w:type="character" w:customStyle="1" w:styleId="153">
    <w:name w:val="font51"/>
    <w:basedOn w:val="42"/>
    <w:qFormat/>
    <w:uiPriority w:val="0"/>
    <w:rPr>
      <w:rFonts w:hint="eastAsia" w:ascii="宋体" w:hAnsi="宋体" w:eastAsia="宋体" w:cs="宋体"/>
      <w:color w:val="000000"/>
      <w:sz w:val="22"/>
      <w:szCs w:val="22"/>
      <w:u w:val="none"/>
    </w:rPr>
  </w:style>
  <w:style w:type="character" w:customStyle="1" w:styleId="154">
    <w:name w:val="font31"/>
    <w:basedOn w:val="42"/>
    <w:qFormat/>
    <w:uiPriority w:val="0"/>
    <w:rPr>
      <w:rFonts w:hint="eastAsia" w:ascii="宋体" w:hAnsi="宋体" w:eastAsia="宋体" w:cs="宋体"/>
      <w:color w:val="000000"/>
      <w:sz w:val="22"/>
      <w:szCs w:val="22"/>
      <w:u w:val="none"/>
    </w:rPr>
  </w:style>
  <w:style w:type="paragraph" w:customStyle="1" w:styleId="15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56">
    <w:name w:val="font61"/>
    <w:basedOn w:val="42"/>
    <w:qFormat/>
    <w:uiPriority w:val="0"/>
    <w:rPr>
      <w:rFonts w:hint="default" w:ascii="Times New Roman" w:hAnsi="Times New Roman" w:cs="Times New Roman"/>
      <w:color w:val="000000"/>
      <w:sz w:val="22"/>
      <w:szCs w:val="22"/>
      <w:u w:val="none"/>
    </w:rPr>
  </w:style>
  <w:style w:type="character" w:customStyle="1" w:styleId="157">
    <w:name w:val="font11"/>
    <w:basedOn w:val="42"/>
    <w:qFormat/>
    <w:uiPriority w:val="0"/>
    <w:rPr>
      <w:rFonts w:hint="eastAsia" w:ascii="宋体" w:hAnsi="宋体" w:eastAsia="宋体" w:cs="宋体"/>
      <w:color w:val="000000"/>
      <w:sz w:val="22"/>
      <w:szCs w:val="22"/>
      <w:u w:val="none"/>
    </w:rPr>
  </w:style>
  <w:style w:type="character" w:customStyle="1" w:styleId="158">
    <w:name w:val="font91"/>
    <w:basedOn w:val="42"/>
    <w:qFormat/>
    <w:uiPriority w:val="0"/>
    <w:rPr>
      <w:rFonts w:hint="eastAsia" w:ascii="宋体" w:hAnsi="宋体" w:eastAsia="宋体" w:cs="宋体"/>
      <w:color w:val="000000"/>
      <w:sz w:val="22"/>
      <w:szCs w:val="22"/>
      <w:u w:val="none"/>
    </w:rPr>
  </w:style>
  <w:style w:type="paragraph" w:customStyle="1" w:styleId="159">
    <w:name w:val="正文_0_0"/>
    <w:qFormat/>
    <w:uiPriority w:val="0"/>
    <w:pPr>
      <w:spacing w:after="200" w:line="276" w:lineRule="auto"/>
    </w:pPr>
    <w:rPr>
      <w:rFonts w:ascii="Times New Roman" w:hAnsi="Times New Roman" w:eastAsia="宋体" w:cs="Times New Roman"/>
      <w:sz w:val="21"/>
      <w:lang w:val="en-US" w:eastAsia="zh-CN" w:bidi="ar-SA"/>
    </w:rPr>
  </w:style>
  <w:style w:type="paragraph" w:customStyle="1" w:styleId="16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黑体"/>
      <w:color w:val="0000FF"/>
      <w:kern w:val="2"/>
      <w:sz w:val="24"/>
      <w:szCs w:val="24"/>
      <w:lang w:val="en-US" w:eastAsia="zh-CN" w:bidi="ar-SA"/>
    </w:rPr>
  </w:style>
  <w:style w:type="paragraph" w:customStyle="1" w:styleId="161">
    <w:name w:val="Normal_27"/>
    <w:qFormat/>
    <w:uiPriority w:val="0"/>
    <w:rPr>
      <w:rFonts w:ascii="Times New Roman" w:hAnsi="Times New Roman" w:eastAsia="Times New Roman" w:cs="Times New Roman"/>
      <w:sz w:val="24"/>
      <w:szCs w:val="24"/>
      <w:lang w:bidi="ar-SA"/>
    </w:rPr>
  </w:style>
  <w:style w:type="paragraph" w:customStyle="1" w:styleId="162">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7817</Words>
  <Characters>44559</Characters>
  <Lines>371</Lines>
  <Paragraphs>104</Paragraphs>
  <TotalTime>13</TotalTime>
  <ScaleCrop>false</ScaleCrop>
  <LinksUpToDate>false</LinksUpToDate>
  <CharactersWithSpaces>52272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2019-11-06T13:03:00Z</dcterms:created>
  <cp:lastPrinted>2020-08-24T01:15:00Z</cp:lastPrinted>
  <dcterms:modified xsi:type="dcterms:W3CDTF">2021-07-15T07:00:40Z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662D69CBDABE4D6B9A37E37D84FD2628</vt:lpwstr>
  </property>
</Properties>
</file>